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leader="dot" w:pos="9471"/>
        </w:tabs>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舍得酒业股份有限公司</w:t>
      </w:r>
    </w:p>
    <w:p>
      <w:pPr>
        <w:widowControl/>
        <w:jc w:val="center"/>
        <w:rPr>
          <w:rFonts w:hint="eastAsia" w:ascii="宋体" w:hAnsi="宋体" w:eastAsia="宋体" w:cs="宋体"/>
          <w:b/>
          <w:bCs/>
          <w:color w:val="auto"/>
          <w:kern w:val="0"/>
          <w:sz w:val="32"/>
          <w:szCs w:val="32"/>
          <w:lang w:val="en-US" w:eastAsia="zh-CN" w:bidi="ar-SA"/>
        </w:rPr>
      </w:pPr>
      <w:r>
        <w:rPr>
          <w:rFonts w:hint="eastAsia" w:ascii="宋体" w:hAnsi="宋体" w:eastAsia="宋体" w:cs="宋体"/>
          <w:b/>
          <w:bCs/>
          <w:color w:val="auto"/>
          <w:kern w:val="0"/>
          <w:sz w:val="32"/>
          <w:szCs w:val="32"/>
          <w:lang w:val="en-US" w:eastAsia="zh-CN" w:bidi="ar-SA"/>
        </w:rPr>
        <w:t>电动叉车、电动牵引车及配套设备采购项目</w:t>
      </w:r>
    </w:p>
    <w:p>
      <w:pPr>
        <w:pStyle w:val="2"/>
        <w:snapToGrid w:val="0"/>
        <w:spacing w:line="46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招标公告（资格预审）</w:t>
      </w:r>
    </w:p>
    <w:p>
      <w:pPr>
        <w:tabs>
          <w:tab w:val="right" w:leader="dot" w:pos="9471"/>
        </w:tabs>
        <w:spacing w:line="42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rPr>
        <w:t>招标编号：舍司招（2024）ZC2-011</w:t>
      </w:r>
    </w:p>
    <w:p>
      <w:pPr>
        <w:spacing w:before="240" w:beforeLines="100"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一、招标条件</w:t>
      </w:r>
    </w:p>
    <w:p>
      <w:pPr>
        <w:tabs>
          <w:tab w:val="right" w:leader="dot" w:pos="947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本招标项目</w:t>
      </w:r>
      <w:r>
        <w:rPr>
          <w:rFonts w:hint="eastAsia" w:ascii="宋体" w:hAnsi="宋体" w:eastAsia="宋体" w:cs="宋体"/>
          <w:color w:val="auto"/>
          <w:sz w:val="24"/>
          <w:u w:val="single"/>
          <w:lang w:val="en-US" w:eastAsia="zh-CN"/>
        </w:rPr>
        <w:t>电动叉车、电动牵引车及配套设备采购项目</w:t>
      </w:r>
      <w:r>
        <w:rPr>
          <w:rFonts w:hint="eastAsia" w:ascii="宋体" w:hAnsi="宋体" w:eastAsia="宋体" w:cs="宋体"/>
          <w:color w:val="auto"/>
          <w:sz w:val="24"/>
        </w:rPr>
        <w:t>已由</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确定实施，项目业主为</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，建设资金来自</w:t>
      </w:r>
      <w:r>
        <w:rPr>
          <w:rFonts w:hint="eastAsia" w:ascii="宋体" w:hAnsi="宋体" w:eastAsia="宋体" w:cs="宋体"/>
          <w:color w:val="auto"/>
          <w:sz w:val="24"/>
          <w:u w:val="single"/>
        </w:rPr>
        <w:t>业主自筹</w:t>
      </w:r>
      <w:r>
        <w:rPr>
          <w:rFonts w:hint="eastAsia" w:ascii="宋体" w:hAnsi="宋体" w:eastAsia="宋体" w:cs="宋体"/>
          <w:color w:val="auto"/>
          <w:sz w:val="24"/>
        </w:rPr>
        <w:t>，项目出资比例为</w:t>
      </w:r>
      <w:r>
        <w:rPr>
          <w:rFonts w:hint="eastAsia" w:ascii="宋体" w:hAnsi="宋体" w:eastAsia="宋体" w:cs="宋体"/>
          <w:color w:val="auto"/>
          <w:sz w:val="24"/>
          <w:u w:val="single"/>
        </w:rPr>
        <w:t>100%</w:t>
      </w:r>
      <w:r>
        <w:rPr>
          <w:rFonts w:hint="eastAsia" w:ascii="宋体" w:hAnsi="宋体" w:eastAsia="宋体" w:cs="宋体"/>
          <w:color w:val="auto"/>
          <w:sz w:val="24"/>
        </w:rPr>
        <w:t>，招标人为</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。项目已具备招标条件，现对该项目进行公开招标，欢迎有兴趣的潜在投标人递交资格预审文件，并通过资格预审程序确定合格的投标人邀请名单。</w:t>
      </w:r>
    </w:p>
    <w:p>
      <w:pPr>
        <w:tabs>
          <w:tab w:val="right" w:leader="dot" w:pos="9471"/>
        </w:tabs>
        <w:spacing w:line="440" w:lineRule="exact"/>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二、项目概况与招标范围</w:t>
      </w:r>
    </w:p>
    <w:p>
      <w:pPr>
        <w:adjustRightInd w:val="0"/>
        <w:snapToGrid w:val="0"/>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2.1 项目名称：</w:t>
      </w:r>
      <w:r>
        <w:rPr>
          <w:rFonts w:hint="eastAsia" w:ascii="宋体" w:hAnsi="宋体" w:eastAsia="宋体" w:cs="宋体"/>
          <w:color w:val="auto"/>
          <w:sz w:val="24"/>
          <w:lang w:val="en-US" w:eastAsia="zh-CN"/>
        </w:rPr>
        <w:t>电动叉车、电动牵引车及配套设备采购项目</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2.2 项目地址：四川省射洪市沱牌镇沱牌大道999号</w:t>
      </w:r>
    </w:p>
    <w:p>
      <w:pPr>
        <w:tabs>
          <w:tab w:val="right" w:leader="dot" w:pos="947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2.3 建设单位：舍得酒业股份有限公司</w:t>
      </w:r>
    </w:p>
    <w:p>
      <w:pPr>
        <w:tabs>
          <w:tab w:val="right" w:leader="dot" w:pos="9471"/>
        </w:tabs>
        <w:spacing w:line="440" w:lineRule="exact"/>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rPr>
        <w:t>2.</w:t>
      </w:r>
      <w:r>
        <w:rPr>
          <w:rFonts w:hint="eastAsia" w:ascii="宋体" w:hAnsi="宋体" w:eastAsia="宋体" w:cs="宋体"/>
          <w:color w:val="auto"/>
          <w:sz w:val="24"/>
          <w:lang w:val="en-US" w:eastAsia="zh-CN"/>
        </w:rPr>
        <w:t>4</w:t>
      </w:r>
      <w:r>
        <w:rPr>
          <w:rFonts w:hint="eastAsia" w:ascii="宋体" w:hAnsi="宋体" w:eastAsia="宋体" w:cs="宋体"/>
          <w:color w:val="auto"/>
          <w:sz w:val="24"/>
        </w:rPr>
        <w:t xml:space="preserve"> 项目概况：</w:t>
      </w:r>
      <w:r>
        <w:rPr>
          <w:rFonts w:hint="eastAsia" w:ascii="宋体" w:hAnsi="宋体" w:eastAsia="宋体" w:cs="宋体"/>
          <w:bCs/>
          <w:color w:val="auto"/>
          <w:sz w:val="24"/>
          <w:highlight w:val="none"/>
        </w:rPr>
        <w:t>招标人为满足增产扩能需求，</w:t>
      </w:r>
      <w:r>
        <w:rPr>
          <w:rFonts w:hint="eastAsia" w:ascii="宋体" w:hAnsi="宋体" w:cs="宋体"/>
          <w:bCs/>
          <w:color w:val="auto"/>
          <w:sz w:val="24"/>
          <w:highlight w:val="none"/>
        </w:rPr>
        <w:t>需采购</w:t>
      </w:r>
      <w:r>
        <w:rPr>
          <w:rFonts w:hint="eastAsia" w:ascii="宋体" w:hAnsi="宋体" w:cs="宋体"/>
          <w:bCs/>
          <w:color w:val="auto"/>
          <w:sz w:val="24"/>
          <w:highlight w:val="none"/>
          <w:lang w:val="en-US" w:eastAsia="zh-CN"/>
        </w:rPr>
        <w:t>电动牵引车17台，</w:t>
      </w:r>
      <w:r>
        <w:rPr>
          <w:rFonts w:hint="eastAsia" w:ascii="宋体" w:hAnsi="宋体" w:eastAsia="宋体" w:cs="宋体"/>
          <w:sz w:val="24"/>
          <w:szCs w:val="24"/>
          <w:highlight w:val="none"/>
          <w:lang w:val="en-US" w:eastAsia="zh-CN"/>
        </w:rPr>
        <w:t>其中牵引质量≥15吨的11台，牵引质量≥10吨的6台；</w:t>
      </w:r>
      <w:r>
        <w:rPr>
          <w:rFonts w:hint="eastAsia" w:ascii="宋体" w:hAnsi="宋体" w:cs="宋体"/>
          <w:bCs/>
          <w:color w:val="auto"/>
          <w:sz w:val="24"/>
          <w:highlight w:val="none"/>
          <w:lang w:val="en-US" w:eastAsia="zh-CN"/>
        </w:rPr>
        <w:t>电动叉车24台，其中</w:t>
      </w:r>
      <w:r>
        <w:rPr>
          <w:rFonts w:hint="eastAsia" w:ascii="宋体" w:hAnsi="宋体" w:eastAsia="宋体" w:cs="宋体"/>
          <w:snapToGrid w:val="0"/>
          <w:sz w:val="24"/>
          <w:szCs w:val="24"/>
          <w:highlight w:val="none"/>
          <w:lang w:val="en-US" w:eastAsia="zh-CN"/>
        </w:rPr>
        <w:t>额定载</w:t>
      </w:r>
      <w:r>
        <w:rPr>
          <w:rFonts w:hint="eastAsia" w:ascii="宋体" w:hAnsi="宋体" w:eastAsia="宋体" w:cs="宋体"/>
          <w:sz w:val="24"/>
          <w:szCs w:val="24"/>
          <w:highlight w:val="none"/>
        </w:rPr>
        <w:t>荷≥1000kg</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19台，</w:t>
      </w:r>
      <w:r>
        <w:rPr>
          <w:rFonts w:hint="eastAsia" w:ascii="宋体" w:hAnsi="宋体" w:eastAsia="宋体" w:cs="宋体"/>
          <w:sz w:val="24"/>
          <w:szCs w:val="24"/>
          <w:highlight w:val="none"/>
        </w:rPr>
        <w:t>额定载荷≥1500kg</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5台。</w:t>
      </w:r>
    </w:p>
    <w:p>
      <w:pPr>
        <w:adjustRightInd w:val="0"/>
        <w:snapToGrid w:val="0"/>
        <w:spacing w:line="440" w:lineRule="exact"/>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 招标范围：</w:t>
      </w:r>
      <w:r>
        <w:rPr>
          <w:rFonts w:hint="eastAsia" w:ascii="宋体" w:hAnsi="宋体" w:eastAsia="宋体" w:cs="宋体"/>
          <w:color w:val="auto"/>
          <w:sz w:val="24"/>
          <w:lang w:val="en-US" w:eastAsia="zh-CN"/>
        </w:rPr>
        <w:t>电动叉车、电动牵引车</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lang w:val="en-US" w:eastAsia="zh-CN"/>
        </w:rPr>
        <w:t>细化</w:t>
      </w:r>
      <w:r>
        <w:rPr>
          <w:rFonts w:hint="eastAsia" w:ascii="宋体" w:hAnsi="宋体" w:eastAsia="宋体" w:cs="宋体"/>
          <w:bCs/>
          <w:color w:val="auto"/>
          <w:sz w:val="24"/>
          <w:highlight w:val="none"/>
        </w:rPr>
        <w:t>设计、制造、工厂试验、装配、包装、</w:t>
      </w:r>
      <w:r>
        <w:rPr>
          <w:rFonts w:hint="eastAsia" w:ascii="宋体" w:hAnsi="宋体" w:eastAsia="宋体" w:cs="宋体"/>
          <w:bCs/>
          <w:color w:val="auto"/>
          <w:sz w:val="24"/>
          <w:highlight w:val="none"/>
          <w:lang w:val="en-US" w:eastAsia="zh-CN"/>
        </w:rPr>
        <w:t>运输</w:t>
      </w:r>
      <w:r>
        <w:rPr>
          <w:rFonts w:hint="eastAsia" w:ascii="宋体" w:hAnsi="宋体" w:eastAsia="宋体" w:cs="宋体"/>
          <w:bCs/>
          <w:color w:val="auto"/>
          <w:sz w:val="24"/>
          <w:highlight w:val="none"/>
        </w:rPr>
        <w:t>、交货、现场指导安装、调试技术支持及售后服务</w:t>
      </w:r>
      <w:r>
        <w:rPr>
          <w:rFonts w:hint="eastAsia" w:ascii="宋体" w:hAnsi="宋体" w:eastAsia="宋体" w:cs="宋体"/>
          <w:bCs/>
          <w:color w:val="auto"/>
          <w:sz w:val="24"/>
          <w:highlight w:val="none"/>
          <w:lang w:val="en-US" w:eastAsia="zh-CN"/>
        </w:rPr>
        <w:t>等。</w:t>
      </w:r>
    </w:p>
    <w:p>
      <w:pPr>
        <w:tabs>
          <w:tab w:val="left" w:pos="900"/>
        </w:tabs>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6</w:t>
      </w:r>
      <w:r>
        <w:rPr>
          <w:rFonts w:hint="eastAsia" w:ascii="宋体" w:hAnsi="宋体" w:eastAsia="宋体" w:cs="宋体"/>
          <w:color w:val="auto"/>
          <w:sz w:val="24"/>
        </w:rPr>
        <w:t xml:space="preserve"> 质量保证</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lang w:val="en-US" w:eastAsia="zh-CN"/>
        </w:rPr>
        <w:t>电动牵引车24</w:t>
      </w:r>
      <w:r>
        <w:rPr>
          <w:rFonts w:hint="eastAsia" w:ascii="宋体" w:hAnsi="宋体" w:eastAsia="宋体" w:cs="宋体"/>
          <w:bCs/>
          <w:color w:val="auto"/>
          <w:sz w:val="24"/>
          <w:highlight w:val="none"/>
        </w:rPr>
        <w:t>个月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电动叉车12个月，</w:t>
      </w:r>
      <w:r>
        <w:rPr>
          <w:rFonts w:hint="eastAsia" w:ascii="宋体" w:hAnsi="宋体" w:eastAsia="宋体" w:cs="宋体"/>
          <w:bCs/>
          <w:color w:val="auto"/>
          <w:sz w:val="24"/>
          <w:highlight w:val="none"/>
        </w:rPr>
        <w:t>从双方签署的安装验收合格报告之日起计算。</w:t>
      </w:r>
    </w:p>
    <w:p>
      <w:pPr>
        <w:adjustRightInd w:val="0"/>
        <w:snapToGrid w:val="0"/>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 xml:space="preserve"> 质量标准：符合现行国家、行业以及地方强制性和推荐性规范、标准要求，满足现场环境使用需求</w:t>
      </w:r>
      <w:r>
        <w:rPr>
          <w:rFonts w:hint="eastAsia" w:ascii="宋体" w:hAnsi="宋体" w:eastAsia="宋体" w:cs="宋体"/>
          <w:color w:val="auto"/>
          <w:sz w:val="24"/>
          <w:lang w:eastAsia="zh-CN"/>
        </w:rPr>
        <w:t>。</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rPr>
        <w:t>招标项目主要</w:t>
      </w:r>
      <w:r>
        <w:rPr>
          <w:rFonts w:hint="eastAsia" w:ascii="宋体" w:hAnsi="宋体" w:eastAsia="宋体" w:cs="宋体"/>
          <w:b/>
          <w:bCs/>
          <w:color w:val="auto"/>
          <w:sz w:val="24"/>
          <w:lang w:val="en-US" w:eastAsia="zh-CN"/>
        </w:rPr>
        <w:t>内容</w:t>
      </w:r>
      <w:r>
        <w:rPr>
          <w:rFonts w:hint="eastAsia" w:ascii="宋体" w:hAnsi="宋体" w:eastAsia="宋体" w:cs="宋体"/>
          <w:b/>
          <w:bCs/>
          <w:color w:val="auto"/>
          <w:sz w:val="24"/>
        </w:rPr>
        <w:t>、数量</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投标保证金及</w:t>
      </w:r>
      <w:r>
        <w:rPr>
          <w:rFonts w:hint="eastAsia" w:ascii="宋体" w:hAnsi="宋体" w:eastAsia="宋体" w:cs="宋体"/>
          <w:b/>
          <w:bCs/>
          <w:color w:val="auto"/>
          <w:sz w:val="24"/>
          <w:lang w:val="en-US" w:eastAsia="zh-CN"/>
        </w:rPr>
        <w:t>货期</w:t>
      </w:r>
      <w:r>
        <w:rPr>
          <w:rFonts w:hint="eastAsia" w:ascii="宋体" w:hAnsi="宋体" w:eastAsia="宋体" w:cs="宋体"/>
          <w:b/>
          <w:bCs/>
          <w:color w:val="auto"/>
          <w:sz w:val="24"/>
        </w:rPr>
        <w:t>：</w:t>
      </w:r>
    </w:p>
    <w:tbl>
      <w:tblPr>
        <w:tblStyle w:val="4"/>
        <w:tblpPr w:leftFromText="180" w:rightFromText="180" w:vertAnchor="text" w:horzAnchor="page" w:tblpX="1542" w:tblpY="188"/>
        <w:tblOverlap w:val="never"/>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1325"/>
        <w:gridCol w:w="2750"/>
        <w:gridCol w:w="804"/>
        <w:gridCol w:w="1528"/>
        <w:gridCol w:w="870"/>
        <w:gridCol w:w="1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97" w:type="dxa"/>
            <w:noWrap w:val="0"/>
            <w:vAlign w:val="center"/>
          </w:tcPr>
          <w:p>
            <w:pPr>
              <w:spacing w:line="460" w:lineRule="exact"/>
              <w:ind w:right="3"/>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p>
        </w:tc>
        <w:tc>
          <w:tcPr>
            <w:tcW w:w="1325" w:type="dxa"/>
            <w:noWrap w:val="0"/>
            <w:vAlign w:val="center"/>
          </w:tcPr>
          <w:p>
            <w:pPr>
              <w:spacing w:line="460" w:lineRule="exact"/>
              <w:ind w:right="3"/>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名称</w:t>
            </w:r>
          </w:p>
        </w:tc>
        <w:tc>
          <w:tcPr>
            <w:tcW w:w="2750" w:type="dxa"/>
            <w:noWrap w:val="0"/>
            <w:vAlign w:val="center"/>
          </w:tcPr>
          <w:p>
            <w:pPr>
              <w:spacing w:line="460" w:lineRule="exact"/>
              <w:ind w:right="3"/>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主要内容</w:t>
            </w:r>
          </w:p>
        </w:tc>
        <w:tc>
          <w:tcPr>
            <w:tcW w:w="804" w:type="dxa"/>
            <w:noWrap w:val="0"/>
            <w:vAlign w:val="center"/>
          </w:tcPr>
          <w:p>
            <w:pPr>
              <w:spacing w:line="460" w:lineRule="exact"/>
              <w:ind w:right="3"/>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1528" w:type="dxa"/>
            <w:noWrap w:val="0"/>
            <w:vAlign w:val="center"/>
          </w:tcPr>
          <w:p>
            <w:pPr>
              <w:spacing w:line="460" w:lineRule="exact"/>
              <w:ind w:right="3"/>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投标保证金</w:t>
            </w:r>
          </w:p>
        </w:tc>
        <w:tc>
          <w:tcPr>
            <w:tcW w:w="870" w:type="dxa"/>
            <w:noWrap w:val="0"/>
            <w:vAlign w:val="center"/>
          </w:tcPr>
          <w:p>
            <w:pPr>
              <w:spacing w:line="460" w:lineRule="exact"/>
              <w:ind w:right="3"/>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货期</w:t>
            </w:r>
          </w:p>
        </w:tc>
        <w:tc>
          <w:tcPr>
            <w:tcW w:w="1284" w:type="dxa"/>
            <w:noWrap w:val="0"/>
            <w:vAlign w:val="center"/>
          </w:tcPr>
          <w:p>
            <w:pPr>
              <w:spacing w:line="460" w:lineRule="exact"/>
              <w:ind w:right="3" w:rightChars="0"/>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97" w:type="dxa"/>
            <w:noWrap w:val="0"/>
            <w:vAlign w:val="center"/>
          </w:tcPr>
          <w:p>
            <w:pPr>
              <w:spacing w:line="460" w:lineRule="exact"/>
              <w:ind w:right="3"/>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标段一</w:t>
            </w:r>
          </w:p>
        </w:tc>
        <w:tc>
          <w:tcPr>
            <w:tcW w:w="1325" w:type="dxa"/>
            <w:noWrap w:val="0"/>
            <w:vAlign w:val="center"/>
          </w:tcPr>
          <w:p>
            <w:pPr>
              <w:spacing w:line="460" w:lineRule="exact"/>
              <w:ind w:right="3"/>
              <w:jc w:val="center"/>
              <w:rPr>
                <w:rFonts w:hint="eastAsia" w:ascii="宋体" w:hAnsi="宋体" w:eastAsia="宋体" w:cs="宋体"/>
                <w:bCs/>
                <w:color w:val="auto"/>
                <w:sz w:val="21"/>
                <w:szCs w:val="21"/>
                <w:highlight w:val="none"/>
              </w:rPr>
            </w:pPr>
            <w:r>
              <w:rPr>
                <w:rFonts w:hint="eastAsia" w:ascii="宋体" w:hAnsi="宋体" w:eastAsia="宋体" w:cs="宋体"/>
                <w:sz w:val="21"/>
                <w:szCs w:val="21"/>
                <w:highlight w:val="none"/>
                <w:lang w:val="en-US" w:eastAsia="zh-CN"/>
              </w:rPr>
              <w:t>电动牵引车</w:t>
            </w:r>
          </w:p>
        </w:tc>
        <w:tc>
          <w:tcPr>
            <w:tcW w:w="2750" w:type="dxa"/>
            <w:noWrap w:val="0"/>
            <w:vAlign w:val="center"/>
          </w:tcPr>
          <w:p>
            <w:pPr>
              <w:tabs>
                <w:tab w:val="right" w:leader="dot" w:pos="9471"/>
              </w:tabs>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包括但不限于整车设备、配套充电机、电池等设备设施。</w:t>
            </w:r>
          </w:p>
        </w:tc>
        <w:tc>
          <w:tcPr>
            <w:tcW w:w="804" w:type="dxa"/>
            <w:noWrap w:val="0"/>
            <w:vAlign w:val="center"/>
          </w:tcPr>
          <w:p>
            <w:pPr>
              <w:spacing w:line="460" w:lineRule="exact"/>
              <w:ind w:right="3"/>
              <w:jc w:val="center"/>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17台</w:t>
            </w:r>
          </w:p>
        </w:tc>
        <w:tc>
          <w:tcPr>
            <w:tcW w:w="1528" w:type="dxa"/>
            <w:noWrap w:val="0"/>
            <w:vAlign w:val="center"/>
          </w:tcPr>
          <w:p>
            <w:pPr>
              <w:spacing w:line="460" w:lineRule="exact"/>
              <w:ind w:right="3"/>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万元</w:t>
            </w:r>
          </w:p>
        </w:tc>
        <w:tc>
          <w:tcPr>
            <w:tcW w:w="870" w:type="dxa"/>
            <w:noWrap w:val="0"/>
            <w:vAlign w:val="center"/>
          </w:tcPr>
          <w:p>
            <w:pPr>
              <w:spacing w:line="240" w:lineRule="auto"/>
              <w:ind w:right="3"/>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60天</w:t>
            </w:r>
          </w:p>
        </w:tc>
        <w:tc>
          <w:tcPr>
            <w:tcW w:w="1284" w:type="dxa"/>
            <w:noWrap w:val="0"/>
            <w:vAlign w:val="center"/>
          </w:tcPr>
          <w:p>
            <w:pPr>
              <w:spacing w:line="240" w:lineRule="auto"/>
              <w:ind w:right="3" w:right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为厂区内低速牵引使用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897" w:type="dxa"/>
            <w:noWrap w:val="0"/>
            <w:vAlign w:val="center"/>
          </w:tcPr>
          <w:p>
            <w:pPr>
              <w:spacing w:line="460" w:lineRule="exact"/>
              <w:ind w:right="3"/>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标段二</w:t>
            </w:r>
          </w:p>
        </w:tc>
        <w:tc>
          <w:tcPr>
            <w:tcW w:w="1325" w:type="dxa"/>
            <w:noWrap w:val="0"/>
            <w:vAlign w:val="center"/>
          </w:tcPr>
          <w:p>
            <w:pPr>
              <w:spacing w:line="460" w:lineRule="exact"/>
              <w:ind w:right="3"/>
              <w:jc w:val="center"/>
              <w:rPr>
                <w:rFonts w:hint="eastAsia" w:ascii="宋体" w:hAnsi="宋体" w:eastAsia="宋体" w:cs="宋体"/>
                <w:bCs/>
                <w:color w:val="auto"/>
                <w:sz w:val="21"/>
                <w:szCs w:val="21"/>
                <w:highlight w:val="none"/>
              </w:rPr>
            </w:pPr>
            <w:r>
              <w:rPr>
                <w:rFonts w:hint="eastAsia" w:ascii="宋体" w:hAnsi="宋体" w:eastAsia="宋体" w:cs="宋体"/>
                <w:sz w:val="21"/>
                <w:szCs w:val="21"/>
                <w:highlight w:val="none"/>
                <w:lang w:val="en-US" w:eastAsia="zh-CN"/>
              </w:rPr>
              <w:t>电动叉车</w:t>
            </w:r>
          </w:p>
        </w:tc>
        <w:tc>
          <w:tcPr>
            <w:tcW w:w="2750" w:type="dxa"/>
            <w:noWrap w:val="0"/>
            <w:vAlign w:val="center"/>
          </w:tcPr>
          <w:p>
            <w:pPr>
              <w:tabs>
                <w:tab w:val="right" w:leader="dot" w:pos="9471"/>
              </w:tabs>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包</w:t>
            </w:r>
            <w:r>
              <w:rPr>
                <w:rFonts w:hint="eastAsia" w:ascii="宋体" w:hAnsi="宋体" w:eastAsia="宋体" w:cs="宋体"/>
                <w:kern w:val="0"/>
                <w:sz w:val="21"/>
                <w:szCs w:val="21"/>
                <w:highlight w:val="none"/>
                <w:lang w:val="en-US" w:eastAsia="zh-CN"/>
              </w:rPr>
              <w:t>括但不限于整车设备、配套充电机、电池等设备</w:t>
            </w:r>
            <w:r>
              <w:rPr>
                <w:rFonts w:hint="eastAsia" w:ascii="宋体" w:hAnsi="宋体" w:eastAsia="宋体" w:cs="宋体"/>
                <w:kern w:val="0"/>
                <w:sz w:val="21"/>
                <w:szCs w:val="21"/>
                <w:lang w:val="en-US" w:eastAsia="zh-CN"/>
              </w:rPr>
              <w:t>设施。</w:t>
            </w:r>
          </w:p>
        </w:tc>
        <w:tc>
          <w:tcPr>
            <w:tcW w:w="804" w:type="dxa"/>
            <w:noWrap w:val="0"/>
            <w:vAlign w:val="center"/>
          </w:tcPr>
          <w:p>
            <w:pPr>
              <w:spacing w:line="460" w:lineRule="exact"/>
              <w:ind w:right="3"/>
              <w:jc w:val="center"/>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24台</w:t>
            </w:r>
          </w:p>
        </w:tc>
        <w:tc>
          <w:tcPr>
            <w:tcW w:w="1528" w:type="dxa"/>
            <w:noWrap w:val="0"/>
            <w:vAlign w:val="center"/>
          </w:tcPr>
          <w:p>
            <w:pPr>
              <w:spacing w:line="460" w:lineRule="exact"/>
              <w:ind w:right="3"/>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万元</w:t>
            </w:r>
          </w:p>
        </w:tc>
        <w:tc>
          <w:tcPr>
            <w:tcW w:w="870" w:type="dxa"/>
            <w:noWrap w:val="0"/>
            <w:vAlign w:val="center"/>
          </w:tcPr>
          <w:p>
            <w:pPr>
              <w:spacing w:line="460" w:lineRule="exact"/>
              <w:ind w:right="3"/>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50天</w:t>
            </w:r>
          </w:p>
        </w:tc>
        <w:tc>
          <w:tcPr>
            <w:tcW w:w="1284" w:type="dxa"/>
            <w:noWrap w:val="0"/>
            <w:vAlign w:val="center"/>
          </w:tcPr>
          <w:p>
            <w:pPr>
              <w:spacing w:line="460" w:lineRule="exact"/>
              <w:ind w:right="3" w:right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w:t>
            </w:r>
          </w:p>
        </w:tc>
      </w:tr>
    </w:tbl>
    <w:p>
      <w:pPr>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说明：投标保证金按照对应标段的保证金额度分别缴纳，投标人可参与部分或全部标段投标。</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四</w:t>
      </w:r>
      <w:r>
        <w:rPr>
          <w:rFonts w:hint="eastAsia" w:ascii="宋体" w:hAnsi="宋体" w:eastAsia="宋体" w:cs="宋体"/>
          <w:b/>
          <w:bCs/>
          <w:color w:val="auto"/>
          <w:sz w:val="24"/>
        </w:rPr>
        <w:t>、申请人及</w:t>
      </w:r>
      <w:r>
        <w:rPr>
          <w:rFonts w:hint="eastAsia" w:ascii="宋体" w:hAnsi="宋体" w:eastAsia="宋体" w:cs="宋体"/>
          <w:b/>
          <w:bCs/>
          <w:color w:val="auto"/>
          <w:sz w:val="24"/>
          <w:lang w:val="en-US" w:eastAsia="zh-CN"/>
        </w:rPr>
        <w:t>授权代表</w:t>
      </w:r>
      <w:r>
        <w:rPr>
          <w:rFonts w:hint="eastAsia" w:ascii="宋体" w:hAnsi="宋体" w:eastAsia="宋体" w:cs="宋体"/>
          <w:b/>
          <w:bCs/>
          <w:color w:val="auto"/>
          <w:sz w:val="24"/>
        </w:rPr>
        <w:t>应当具备的主要资格条件</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.1申请人资质</w:t>
      </w:r>
      <w:r>
        <w:rPr>
          <w:rFonts w:hint="eastAsia" w:ascii="宋体" w:hAnsi="宋体" w:eastAsia="宋体" w:cs="宋体"/>
          <w:color w:val="auto"/>
          <w:sz w:val="24"/>
          <w:lang w:val="en-US" w:eastAsia="zh-CN"/>
        </w:rPr>
        <w:t>条件</w:t>
      </w:r>
      <w:r>
        <w:rPr>
          <w:rFonts w:hint="eastAsia" w:ascii="宋体" w:hAnsi="宋体" w:eastAsia="宋体" w:cs="宋体"/>
          <w:color w:val="auto"/>
          <w:sz w:val="24"/>
        </w:rPr>
        <w:t>：</w:t>
      </w:r>
      <w:r>
        <w:rPr>
          <w:rFonts w:hint="eastAsia" w:ascii="宋体" w:hAnsi="宋体" w:eastAsia="宋体" w:cs="宋体"/>
          <w:color w:val="auto"/>
          <w:sz w:val="24"/>
          <w:lang w:val="en-US" w:eastAsia="zh-CN"/>
        </w:rPr>
        <w:t>电</w:t>
      </w:r>
      <w:r>
        <w:rPr>
          <w:rFonts w:hint="eastAsia" w:ascii="宋体" w:hAnsi="宋体" w:eastAsia="宋体" w:cs="宋体"/>
          <w:color w:val="auto"/>
          <w:sz w:val="24"/>
          <w:highlight w:val="none"/>
          <w:lang w:val="en-US" w:eastAsia="zh-CN"/>
        </w:rPr>
        <w:t>动牵引车、电动叉车</w:t>
      </w:r>
      <w:r>
        <w:rPr>
          <w:rFonts w:hint="eastAsia" w:ascii="宋体" w:hAnsi="宋体" w:eastAsia="宋体" w:cs="宋体"/>
          <w:color w:val="auto"/>
          <w:sz w:val="24"/>
          <w:highlight w:val="none"/>
        </w:rPr>
        <w:t>的生产制</w:t>
      </w:r>
      <w:r>
        <w:rPr>
          <w:rFonts w:hint="eastAsia" w:ascii="宋体" w:hAnsi="宋体" w:eastAsia="宋体" w:cs="宋体"/>
          <w:color w:val="auto"/>
          <w:sz w:val="24"/>
        </w:rPr>
        <w:t>造商或授权经销商/代理商，授权经销商/代理商须提供生产制造商出具的针对本项目的合法授权。</w:t>
      </w:r>
    </w:p>
    <w:p>
      <w:pPr>
        <w:adjustRightInd w:val="0"/>
        <w:snapToGrid w:val="0"/>
        <w:spacing w:line="440" w:lineRule="exact"/>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4.2</w:t>
      </w:r>
      <w:r>
        <w:rPr>
          <w:rFonts w:hint="eastAsia" w:ascii="宋体" w:hAnsi="宋体" w:eastAsia="宋体" w:cs="宋体"/>
          <w:color w:val="auto"/>
          <w:sz w:val="24"/>
        </w:rPr>
        <w:t>投标人企业注册资金（人民币）不少于</w:t>
      </w:r>
      <w:r>
        <w:rPr>
          <w:rFonts w:hint="eastAsia" w:ascii="宋体" w:hAnsi="宋体" w:eastAsia="宋体" w:cs="宋体"/>
          <w:color w:val="auto"/>
          <w:sz w:val="24"/>
          <w:lang w:val="en-US" w:eastAsia="zh-CN"/>
        </w:rPr>
        <w:t>5</w:t>
      </w:r>
      <w:r>
        <w:rPr>
          <w:rFonts w:hint="eastAsia" w:ascii="宋体" w:hAnsi="宋体" w:eastAsia="宋体" w:cs="宋体"/>
          <w:color w:val="auto"/>
          <w:sz w:val="24"/>
        </w:rPr>
        <w:t>00万元人民币。</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本项目委托代理人必须为投标人本</w:t>
      </w:r>
      <w:r>
        <w:rPr>
          <w:rFonts w:hint="eastAsia" w:ascii="宋体" w:hAnsi="宋体" w:eastAsia="宋体" w:cs="宋体"/>
          <w:color w:val="auto"/>
          <w:sz w:val="24"/>
          <w:highlight w:val="none"/>
        </w:rPr>
        <w:t>单位职工。投标人须在投标文件资格审查部分提供投标人本单位为该委托代理人缴纳的养老保险证明复印件。</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rPr>
        <w:t>、以下条件属于资格审查必要合格条件</w:t>
      </w:r>
    </w:p>
    <w:p>
      <w:pPr>
        <w:tabs>
          <w:tab w:val="right" w:leader="dot" w:pos="9471"/>
        </w:tabs>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.1 资质及能力要求：投标人须在中华人民共和国工商部门登记注册且具有独立法人资格的企业，</w:t>
      </w:r>
      <w:r>
        <w:rPr>
          <w:rFonts w:hint="eastAsia" w:ascii="宋体" w:hAnsi="宋体" w:eastAsia="宋体" w:cs="宋体"/>
          <w:color w:val="auto"/>
          <w:sz w:val="24"/>
          <w:highlight w:val="none"/>
        </w:rPr>
        <w:t>持有在中国合法注册的《营业执照》</w:t>
      </w:r>
      <w:r>
        <w:rPr>
          <w:rFonts w:hint="eastAsia" w:ascii="宋体" w:hAnsi="宋体" w:eastAsia="宋体" w:cs="宋体"/>
          <w:sz w:val="24"/>
          <w:highlight w:val="none"/>
        </w:rPr>
        <w:t>。</w:t>
      </w:r>
    </w:p>
    <w:p>
      <w:pPr>
        <w:adjustRightInd w:val="0"/>
        <w:snapToGrid w:val="0"/>
        <w:spacing w:line="440" w:lineRule="exact"/>
        <w:ind w:firstLine="480" w:firstLineChars="200"/>
        <w:rPr>
          <w:rFonts w:hint="eastAsia" w:ascii="宋体" w:hAnsi="宋体" w:eastAsia="宋体" w:cs="宋体"/>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.2投标人未处于被责令停业、投标资格被取消或者财产被接管、冻结和破产状态。</w:t>
      </w:r>
    </w:p>
    <w:p>
      <w:pPr>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信誉要求：投标人在信用中国（http://www.creditchina.gov.cn）平台上无失信记录</w:t>
      </w:r>
      <w:r>
        <w:rPr>
          <w:rFonts w:hint="eastAsia" w:ascii="宋体" w:hAnsi="宋体" w:eastAsia="宋体" w:cs="宋体"/>
          <w:sz w:val="24"/>
          <w:highlight w:val="none"/>
          <w:lang w:eastAsia="zh-CN"/>
        </w:rPr>
        <w:t>，</w:t>
      </w:r>
      <w:r>
        <w:rPr>
          <w:rFonts w:hint="eastAsia" w:ascii="宋体" w:hAnsi="宋体" w:eastAsia="宋体" w:cs="宋体"/>
          <w:color w:val="auto"/>
          <w:sz w:val="24"/>
          <w:highlight w:val="none"/>
        </w:rPr>
        <w:t>没有因骗取中标或者严重违约以及发生重大工程质量、安全生产事故等问题，被有关部门暂停投标资格并在暂停期内的不良记录。</w:t>
      </w:r>
    </w:p>
    <w:p>
      <w:pPr>
        <w:tabs>
          <w:tab w:val="right" w:leader="dot" w:pos="9471"/>
        </w:tabs>
        <w:adjustRightInd w:val="0"/>
        <w:snapToGrid w:val="0"/>
        <w:spacing w:line="440" w:lineRule="exact"/>
        <w:ind w:firstLine="480" w:firstLineChars="200"/>
        <w:jc w:val="left"/>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.4投标人资格证明文件中的重要内容没有失实或者弄虚作假</w:t>
      </w:r>
      <w:r>
        <w:rPr>
          <w:rFonts w:hint="eastAsia" w:ascii="宋体" w:hAnsi="宋体" w:eastAsia="宋体" w:cs="宋体"/>
          <w:color w:val="auto"/>
          <w:sz w:val="24"/>
          <w:highlight w:val="none"/>
          <w:lang w:val="en-US" w:eastAsia="zh-CN"/>
        </w:rPr>
        <w:t>.</w:t>
      </w:r>
    </w:p>
    <w:p>
      <w:pPr>
        <w:tabs>
          <w:tab w:val="right" w:leader="dot" w:pos="9471"/>
        </w:tabs>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5.5</w:t>
      </w:r>
      <w:r>
        <w:rPr>
          <w:rFonts w:hint="eastAsia" w:ascii="宋体" w:hAnsi="宋体" w:eastAsia="宋体" w:cs="宋体"/>
          <w:sz w:val="24"/>
          <w:highlight w:val="none"/>
        </w:rPr>
        <w:t>财务要求：财务状况良好，近3年</w:t>
      </w:r>
      <w:r>
        <w:rPr>
          <w:rFonts w:hint="eastAsia" w:ascii="宋体" w:hAnsi="宋体" w:eastAsia="宋体" w:cs="宋体"/>
          <w:sz w:val="24"/>
          <w:highlight w:val="none"/>
          <w:lang w:val="en-US" w:eastAsia="zh-CN"/>
        </w:rPr>
        <w:t>平均</w:t>
      </w:r>
      <w:r>
        <w:rPr>
          <w:rFonts w:hint="eastAsia" w:ascii="宋体" w:hAnsi="宋体" w:eastAsia="宋体" w:cs="宋体"/>
          <w:sz w:val="24"/>
          <w:highlight w:val="none"/>
        </w:rPr>
        <w:t>无亏损，有足够的资金能力来承担本项目的实施。</w:t>
      </w:r>
    </w:p>
    <w:p>
      <w:pPr>
        <w:tabs>
          <w:tab w:val="right" w:leader="dot" w:pos="9471"/>
        </w:tabs>
        <w:spacing w:line="460" w:lineRule="exact"/>
        <w:ind w:firstLine="480" w:firstLineChars="200"/>
        <w:jc w:val="left"/>
        <w:rPr>
          <w:rFonts w:hint="eastAsia" w:ascii="宋体" w:hAnsi="宋体" w:eastAsia="宋体" w:cs="宋体"/>
          <w:color w:val="auto"/>
          <w:sz w:val="24"/>
          <w:highlight w:val="yellow"/>
        </w:rPr>
      </w:pPr>
      <w:r>
        <w:rPr>
          <w:rFonts w:hint="eastAsia" w:ascii="宋体" w:hAnsi="宋体" w:eastAsia="宋体" w:cs="宋体"/>
          <w:sz w:val="24"/>
          <w:highlight w:val="none"/>
          <w:lang w:val="en-US" w:eastAsia="zh-CN"/>
        </w:rPr>
        <w:t>5.6</w:t>
      </w:r>
      <w:r>
        <w:rPr>
          <w:rFonts w:hint="eastAsia" w:ascii="宋体" w:hAnsi="宋体" w:eastAsia="宋体" w:cs="宋体"/>
          <w:color w:val="auto"/>
          <w:sz w:val="24"/>
          <w:highlight w:val="none"/>
        </w:rPr>
        <w:t>业绩要求：</w:t>
      </w:r>
      <w:r>
        <w:rPr>
          <w:rFonts w:hint="eastAsia" w:ascii="宋体" w:hAnsi="宋体" w:eastAsia="宋体" w:cs="宋体"/>
          <w:sz w:val="24"/>
        </w:rPr>
        <w:t>投标人提供近3年国内类似的合作</w:t>
      </w:r>
      <w:r>
        <w:rPr>
          <w:rFonts w:hint="eastAsia" w:ascii="宋体" w:hAnsi="宋体" w:eastAsia="宋体" w:cs="宋体"/>
          <w:sz w:val="24"/>
          <w:lang w:val="en-US" w:eastAsia="zh-CN"/>
        </w:rPr>
        <w:t>成功</w:t>
      </w:r>
      <w:r>
        <w:rPr>
          <w:rFonts w:hint="eastAsia" w:ascii="宋体" w:hAnsi="宋体" w:eastAsia="宋体" w:cs="宋体"/>
          <w:sz w:val="24"/>
        </w:rPr>
        <w:t>案例</w:t>
      </w:r>
      <w:r>
        <w:rPr>
          <w:rFonts w:hint="eastAsia" w:ascii="宋体" w:hAnsi="宋体" w:eastAsia="宋体" w:cs="宋体"/>
          <w:sz w:val="24"/>
          <w:lang w:val="en-US" w:eastAsia="zh-CN"/>
        </w:rPr>
        <w:t>不低于2例</w:t>
      </w:r>
      <w:r>
        <w:rPr>
          <w:rFonts w:hint="eastAsia" w:ascii="宋体" w:hAnsi="宋体" w:eastAsia="宋体" w:cs="宋体"/>
          <w:color w:val="auto"/>
          <w:sz w:val="24"/>
          <w:highlight w:val="none"/>
        </w:rPr>
        <w:t>。</w:t>
      </w:r>
    </w:p>
    <w:p>
      <w:pPr>
        <w:adjustRightInd w:val="0"/>
        <w:snapToGrid w:val="0"/>
        <w:spacing w:line="440" w:lineRule="exact"/>
        <w:ind w:firstLine="480" w:firstLineChars="200"/>
        <w:rPr>
          <w:rFonts w:hint="eastAsia" w:ascii="宋体" w:hAnsi="宋体" w:eastAsia="宋体" w:cs="宋体"/>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本项目不接受挂靠、转包、分包、联合体单位参与投标；单位负责人为同一个的两个及两个以上的母公司、全资子公司及其控股公司或</w:t>
      </w:r>
      <w:r>
        <w:rPr>
          <w:rFonts w:hint="eastAsia" w:ascii="宋体" w:hAnsi="宋体" w:eastAsia="宋体" w:cs="宋体"/>
          <w:color w:val="auto"/>
          <w:sz w:val="24"/>
        </w:rPr>
        <w:t>存在管理关系的</w:t>
      </w:r>
      <w:r>
        <w:rPr>
          <w:rFonts w:hint="eastAsia" w:ascii="宋体" w:hAnsi="宋体" w:eastAsia="宋体" w:cs="宋体"/>
          <w:color w:val="auto"/>
          <w:sz w:val="24"/>
          <w:highlight w:val="none"/>
        </w:rPr>
        <w:t>，只能有一家参加本项目投标。</w:t>
      </w:r>
    </w:p>
    <w:p>
      <w:pPr>
        <w:tabs>
          <w:tab w:val="right" w:leader="dot" w:pos="9471"/>
        </w:tabs>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5.8</w:t>
      </w:r>
      <w:r>
        <w:rPr>
          <w:rFonts w:hint="eastAsia" w:ascii="宋体" w:hAnsi="宋体" w:eastAsia="宋体" w:cs="宋体"/>
          <w:color w:val="auto"/>
          <w:sz w:val="24"/>
          <w:highlight w:val="none"/>
        </w:rPr>
        <w:t>投标人须符合《资格预审必要合格条件标准》（见附件一）。</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六</w:t>
      </w:r>
      <w:r>
        <w:rPr>
          <w:rFonts w:hint="eastAsia" w:ascii="宋体" w:hAnsi="宋体" w:eastAsia="宋体" w:cs="宋体"/>
          <w:b/>
          <w:bCs/>
          <w:color w:val="auto"/>
          <w:sz w:val="24"/>
        </w:rPr>
        <w:t>、确定潜在投标人的方法</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本项目资格预审采用合格制。投标人递交的资格预审文件（包括必要时的约谈或考察）经审查均合格的，入围正式投标</w:t>
      </w:r>
      <w:r>
        <w:rPr>
          <w:rFonts w:hint="eastAsia" w:ascii="宋体" w:hAnsi="宋体" w:eastAsia="宋体" w:cs="宋体"/>
          <w:b/>
          <w:bCs/>
          <w:color w:val="auto"/>
          <w:sz w:val="24"/>
        </w:rPr>
        <w:t>。</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七</w:t>
      </w:r>
      <w:r>
        <w:rPr>
          <w:rFonts w:hint="eastAsia" w:ascii="宋体" w:hAnsi="宋体" w:eastAsia="宋体" w:cs="宋体"/>
          <w:b/>
          <w:bCs/>
          <w:color w:val="auto"/>
          <w:sz w:val="24"/>
        </w:rPr>
        <w:t>、资格预审文件的递交</w:t>
      </w:r>
    </w:p>
    <w:p>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.1有意向且符合上述条件的投标人，请登陆舍得酒业招采数字化平台(网址：https://ssrm.shede.com.cn），点击页面顶部“一链网”参与项目报名, 并按照“附件二投标预审资料提交模板”的要求提供资格预审盖章扫描文件及可编辑word版本。</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.2未按照上述要求进行报名的均视为报名无效，报名截止后通过资格预审的投标人可获取招标文件并参加投标。</w:t>
      </w:r>
    </w:p>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八</w:t>
      </w:r>
      <w:r>
        <w:rPr>
          <w:rFonts w:hint="eastAsia" w:ascii="宋体" w:hAnsi="宋体" w:eastAsia="宋体" w:cs="宋体"/>
          <w:b/>
          <w:color w:val="auto"/>
          <w:sz w:val="24"/>
        </w:rPr>
        <w:t>、投标保证金：</w:t>
      </w:r>
    </w:p>
    <w:p>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.1 投标保证金缴纳：投标保证金缴纳及凭证上传截至时间为</w:t>
      </w:r>
      <w:r>
        <w:rPr>
          <w:rFonts w:hint="eastAsia" w:ascii="宋体" w:hAnsi="宋体" w:cs="宋体"/>
          <w:color w:val="auto"/>
          <w:sz w:val="24"/>
          <w:lang w:val="en-US" w:eastAsia="zh-CN"/>
        </w:rPr>
        <w:t>2024</w:t>
      </w:r>
      <w:r>
        <w:rPr>
          <w:rFonts w:hint="eastAsia" w:ascii="宋体" w:hAnsi="宋体" w:eastAsia="宋体" w:cs="宋体"/>
          <w:color w:val="auto"/>
          <w:sz w:val="24"/>
        </w:rPr>
        <w:t>年</w:t>
      </w:r>
      <w:r>
        <w:rPr>
          <w:rFonts w:hint="eastAsia" w:ascii="宋体" w:hAnsi="宋体" w:cs="宋体"/>
          <w:color w:val="auto"/>
          <w:sz w:val="24"/>
          <w:lang w:val="en-US" w:eastAsia="zh-CN"/>
        </w:rPr>
        <w:t>3</w:t>
      </w:r>
      <w:r>
        <w:rPr>
          <w:rFonts w:hint="eastAsia" w:ascii="宋体" w:hAnsi="宋体" w:eastAsia="宋体" w:cs="宋体"/>
          <w:color w:val="auto"/>
          <w:sz w:val="24"/>
        </w:rPr>
        <w:t>月</w:t>
      </w:r>
      <w:r>
        <w:rPr>
          <w:rFonts w:hint="eastAsia" w:ascii="宋体" w:hAnsi="宋体" w:cs="宋体"/>
          <w:color w:val="auto"/>
          <w:sz w:val="24"/>
          <w:lang w:val="en-US" w:eastAsia="zh-CN"/>
        </w:rPr>
        <w:t>12</w:t>
      </w:r>
      <w:r>
        <w:rPr>
          <w:rFonts w:hint="eastAsia" w:ascii="宋体" w:hAnsi="宋体" w:eastAsia="宋体" w:cs="宋体"/>
          <w:color w:val="auto"/>
          <w:sz w:val="24"/>
        </w:rPr>
        <w:t>日</w:t>
      </w:r>
      <w:r>
        <w:rPr>
          <w:rFonts w:hint="eastAsia" w:ascii="宋体" w:hAnsi="宋体" w:cs="宋体"/>
          <w:color w:val="auto"/>
          <w:sz w:val="24"/>
          <w:lang w:val="en-US" w:eastAsia="zh-CN"/>
        </w:rPr>
        <w:t>17</w:t>
      </w:r>
      <w:r>
        <w:rPr>
          <w:rFonts w:hint="eastAsia" w:ascii="宋体" w:hAnsi="宋体" w:eastAsia="宋体" w:cs="宋体"/>
          <w:color w:val="auto"/>
          <w:sz w:val="24"/>
        </w:rPr>
        <w:t>:</w:t>
      </w:r>
      <w:r>
        <w:rPr>
          <w:rFonts w:hint="eastAsia" w:ascii="宋体" w:hAnsi="宋体" w:cs="宋体"/>
          <w:color w:val="auto"/>
          <w:sz w:val="24"/>
          <w:lang w:val="en-US" w:eastAsia="zh-CN"/>
        </w:rPr>
        <w:t>30</w:t>
      </w:r>
      <w:r>
        <w:rPr>
          <w:rFonts w:hint="eastAsia" w:ascii="宋体" w:hAnsi="宋体" w:eastAsia="宋体" w:cs="宋体"/>
          <w:color w:val="auto"/>
          <w:sz w:val="24"/>
        </w:rPr>
        <w:t>前</w:t>
      </w:r>
      <w:r>
        <w:rPr>
          <w:rFonts w:hint="eastAsia" w:ascii="宋体" w:hAnsi="宋体" w:eastAsia="宋体" w:cs="宋体"/>
          <w:color w:val="auto"/>
          <w:sz w:val="24"/>
          <w:lang w:eastAsia="zh-CN"/>
        </w:rPr>
        <w:t>，</w:t>
      </w:r>
      <w:r>
        <w:rPr>
          <w:rFonts w:hint="eastAsia" w:ascii="宋体" w:hAnsi="宋体" w:eastAsia="宋体" w:cs="宋体"/>
          <w:color w:val="auto"/>
          <w:sz w:val="24"/>
        </w:rPr>
        <w:t>投标人以网银转账或电汇方式缴纳至招标人指定账户，转账需备注“***项目-</w:t>
      </w:r>
      <w:r>
        <w:rPr>
          <w:rFonts w:hint="eastAsia" w:ascii="宋体" w:hAnsi="宋体" w:eastAsia="宋体" w:cs="宋体"/>
          <w:color w:val="auto"/>
          <w:sz w:val="24"/>
          <w:lang w:val="en-US" w:eastAsia="zh-CN"/>
        </w:rPr>
        <w:t>招标</w:t>
      </w:r>
      <w:r>
        <w:rPr>
          <w:rFonts w:hint="eastAsia" w:ascii="宋体" w:hAnsi="宋体" w:eastAsia="宋体" w:cs="宋体"/>
          <w:color w:val="auto"/>
          <w:sz w:val="24"/>
          <w:highlight w:val="none"/>
          <w:lang w:val="en-US" w:eastAsia="zh-CN"/>
        </w:rPr>
        <w:t>编号</w:t>
      </w:r>
      <w:r>
        <w:rPr>
          <w:rFonts w:hint="eastAsia" w:ascii="宋体" w:hAnsi="宋体" w:eastAsia="宋体" w:cs="宋体"/>
          <w:color w:val="auto"/>
          <w:sz w:val="24"/>
          <w:highlight w:val="none"/>
          <w:lang w:eastAsia="zh-CN"/>
        </w:rPr>
        <w:t>ZC2-0</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号</w:t>
      </w:r>
      <w:r>
        <w:rPr>
          <w:rFonts w:hint="eastAsia" w:ascii="宋体" w:hAnsi="宋体" w:eastAsia="宋体" w:cs="宋体"/>
          <w:color w:val="auto"/>
          <w:sz w:val="24"/>
          <w:highlight w:val="none"/>
          <w:lang w:val="en-US" w:eastAsia="zh-CN"/>
        </w:rPr>
        <w:t>-标段*</w:t>
      </w:r>
      <w:r>
        <w:rPr>
          <w:rFonts w:hint="eastAsia" w:ascii="宋体" w:hAnsi="宋体" w:cs="宋体"/>
          <w:color w:val="auto"/>
          <w:sz w:val="24"/>
          <w:highlight w:val="none"/>
          <w:lang w:val="en-US" w:eastAsia="zh-CN"/>
        </w:rPr>
        <w:t>-</w:t>
      </w:r>
      <w:r>
        <w:rPr>
          <w:rFonts w:hint="eastAsia" w:ascii="宋体" w:hAnsi="宋体" w:eastAsia="宋体" w:cs="宋体"/>
          <w:color w:val="auto"/>
          <w:sz w:val="24"/>
        </w:rPr>
        <w:t>投标保证金”，投标保证金缴纳后登陆舍得酒业招采数字化平台（网址：https://ssrm.shede.com.cn）点击页面顶部“一链网”，在截至时间前上传转账凭证。</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投标保证金缴纳账户信息如下：</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开户单位：舍得酒业股份有限公司</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开户银行：中国工商银行射洪支行</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银行帐号：2310 4641 0902 2509 624。</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.2 保证金退还：</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bookmarkStart w:id="0" w:name="_Hlk114040219"/>
    </w:p>
    <w:bookmarkEnd w:id="0"/>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九</w:t>
      </w:r>
      <w:r>
        <w:rPr>
          <w:rFonts w:hint="eastAsia" w:ascii="宋体" w:hAnsi="宋体" w:eastAsia="宋体" w:cs="宋体"/>
          <w:b/>
          <w:color w:val="auto"/>
          <w:sz w:val="24"/>
        </w:rPr>
        <w:t>、招标文件获取方式</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登陆舍得酒业招采数字化平台（网址：https://ssrm.shede.com.cn），点击页面顶部“一链网”获取招标文件。</w:t>
      </w:r>
    </w:p>
    <w:p>
      <w:pPr>
        <w:adjustRightInd w:val="0"/>
        <w:snapToGrid w:val="0"/>
        <w:spacing w:line="440" w:lineRule="exact"/>
        <w:ind w:firstLine="482" w:firstLineChars="200"/>
        <w:rPr>
          <w:rFonts w:hint="eastAsia" w:ascii="宋体" w:hAnsi="宋体" w:eastAsia="宋体" w:cs="宋体"/>
          <w:b/>
          <w:color w:val="auto"/>
          <w:sz w:val="24"/>
          <w:lang w:val="en-US" w:eastAsia="zh-CN"/>
        </w:rPr>
      </w:pPr>
      <w:r>
        <w:rPr>
          <w:rFonts w:hint="eastAsia" w:ascii="宋体" w:hAnsi="宋体" w:cs="宋体"/>
          <w:b/>
          <w:color w:val="auto"/>
          <w:sz w:val="24"/>
          <w:lang w:val="en-US" w:eastAsia="zh-CN"/>
        </w:rPr>
        <w:t>十</w:t>
      </w:r>
      <w:r>
        <w:rPr>
          <w:rFonts w:hint="eastAsia" w:ascii="宋体" w:hAnsi="宋体" w:eastAsia="宋体" w:cs="宋体"/>
          <w:b/>
          <w:color w:val="auto"/>
          <w:sz w:val="24"/>
          <w:lang w:val="en-US" w:eastAsia="zh-CN"/>
        </w:rPr>
        <w:t>、投标文件递交方式</w:t>
      </w:r>
    </w:p>
    <w:p>
      <w:pPr>
        <w:adjustRightInd w:val="0"/>
        <w:snapToGrid w:val="0"/>
        <w:spacing w:line="440" w:lineRule="exact"/>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rPr>
        <w:t>登陆舍得酒业招采数字化平台（网址： https://ssrm.shede.com.cn ）点击页面顶部“一链网”，最迟</w:t>
      </w:r>
      <w:r>
        <w:rPr>
          <w:rFonts w:hint="eastAsia" w:ascii="宋体" w:hAnsi="宋体" w:cs="宋体"/>
          <w:color w:val="auto"/>
          <w:sz w:val="24"/>
          <w:lang w:val="en-US" w:eastAsia="zh-CN"/>
        </w:rPr>
        <w:t>2024</w:t>
      </w:r>
      <w:r>
        <w:rPr>
          <w:rFonts w:hint="eastAsia" w:ascii="宋体" w:hAnsi="宋体" w:eastAsia="宋体" w:cs="宋体"/>
          <w:color w:val="auto"/>
          <w:sz w:val="24"/>
        </w:rPr>
        <w:t>年</w:t>
      </w:r>
      <w:r>
        <w:rPr>
          <w:rFonts w:hint="eastAsia" w:ascii="宋体" w:hAnsi="宋体" w:cs="宋体"/>
          <w:color w:val="auto"/>
          <w:sz w:val="24"/>
          <w:lang w:val="en-US" w:eastAsia="zh-CN"/>
        </w:rPr>
        <w:t>3</w:t>
      </w:r>
      <w:r>
        <w:rPr>
          <w:rFonts w:hint="eastAsia" w:ascii="宋体" w:hAnsi="宋体" w:eastAsia="宋体" w:cs="宋体"/>
          <w:color w:val="auto"/>
          <w:sz w:val="24"/>
        </w:rPr>
        <w:t>月</w:t>
      </w:r>
      <w:r>
        <w:rPr>
          <w:rFonts w:hint="eastAsia" w:ascii="宋体" w:hAnsi="宋体" w:cs="宋体"/>
          <w:color w:val="auto"/>
          <w:sz w:val="24"/>
          <w:lang w:val="en-US" w:eastAsia="zh-CN"/>
        </w:rPr>
        <w:t>19</w:t>
      </w:r>
      <w:r>
        <w:rPr>
          <w:rFonts w:hint="eastAsia" w:ascii="宋体" w:hAnsi="宋体" w:eastAsia="宋体" w:cs="宋体"/>
          <w:color w:val="auto"/>
          <w:sz w:val="24"/>
        </w:rPr>
        <w:t>日</w:t>
      </w:r>
      <w:r>
        <w:rPr>
          <w:rFonts w:hint="eastAsia" w:ascii="宋体" w:hAnsi="宋体" w:cs="宋体"/>
          <w:color w:val="auto"/>
          <w:sz w:val="24"/>
          <w:lang w:val="en-US" w:eastAsia="zh-CN"/>
        </w:rPr>
        <w:t>9</w:t>
      </w:r>
      <w:r>
        <w:rPr>
          <w:rFonts w:hint="eastAsia" w:ascii="宋体" w:hAnsi="宋体" w:eastAsia="宋体" w:cs="宋体"/>
          <w:color w:val="auto"/>
          <w:sz w:val="24"/>
        </w:rPr>
        <w:t>:</w:t>
      </w:r>
      <w:r>
        <w:rPr>
          <w:rFonts w:hint="eastAsia" w:ascii="宋体" w:hAnsi="宋体" w:cs="宋体"/>
          <w:color w:val="auto"/>
          <w:sz w:val="24"/>
          <w:lang w:val="en-US" w:eastAsia="zh-CN"/>
        </w:rPr>
        <w:t>00</w:t>
      </w:r>
      <w:r>
        <w:rPr>
          <w:rFonts w:hint="eastAsia" w:ascii="宋体" w:hAnsi="宋体" w:eastAsia="宋体" w:cs="宋体"/>
          <w:color w:val="auto"/>
          <w:sz w:val="24"/>
        </w:rPr>
        <w:t>前递交投标文件</w:t>
      </w:r>
      <w:r>
        <w:rPr>
          <w:rFonts w:hint="eastAsia" w:ascii="宋体" w:hAnsi="宋体" w:eastAsia="宋体" w:cs="宋体"/>
          <w:color w:val="auto"/>
          <w:sz w:val="24"/>
          <w:lang w:val="zh-CN"/>
        </w:rPr>
        <w:t>。</w:t>
      </w:r>
    </w:p>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十</w:t>
      </w:r>
      <w:r>
        <w:rPr>
          <w:rFonts w:hint="eastAsia" w:ascii="宋体" w:hAnsi="宋体" w:cs="宋体"/>
          <w:b/>
          <w:color w:val="auto"/>
          <w:sz w:val="24"/>
          <w:lang w:val="en-US" w:eastAsia="zh-CN"/>
        </w:rPr>
        <w:t>一</w:t>
      </w:r>
      <w:r>
        <w:rPr>
          <w:rFonts w:hint="eastAsia" w:ascii="宋体" w:hAnsi="宋体" w:eastAsia="宋体" w:cs="宋体"/>
          <w:b/>
          <w:color w:val="auto"/>
          <w:sz w:val="24"/>
        </w:rPr>
        <w:t>、附件</w:t>
      </w:r>
    </w:p>
    <w:p>
      <w:pPr>
        <w:adjustRightInd w:val="0"/>
        <w:snapToGrid w:val="0"/>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附件一：资格预审必要合格条件标准</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点击下载</w:t>
      </w:r>
      <w:r>
        <w:rPr>
          <w:rFonts w:hint="eastAsia" w:ascii="宋体" w:hAnsi="宋体" w:eastAsia="宋体" w:cs="宋体"/>
          <w:color w:val="auto"/>
          <w:sz w:val="24"/>
          <w:lang w:eastAsia="zh-CN"/>
        </w:rPr>
        <w:t>）</w:t>
      </w:r>
    </w:p>
    <w:p>
      <w:pPr>
        <w:adjustRightInd w:val="0"/>
        <w:snapToGrid w:val="0"/>
        <w:spacing w:line="440" w:lineRule="exact"/>
        <w:ind w:firstLine="480" w:firstLineChars="200"/>
        <w:rPr>
          <w:rFonts w:hint="eastAsia" w:ascii="宋体" w:hAnsi="宋体" w:eastAsia="宋体" w:cs="宋体"/>
          <w:color w:val="auto"/>
        </w:rPr>
      </w:pPr>
      <w:r>
        <w:rPr>
          <w:rFonts w:hint="eastAsia" w:ascii="宋体" w:hAnsi="宋体" w:eastAsia="宋体" w:cs="宋体"/>
          <w:color w:val="auto"/>
          <w:sz w:val="24"/>
        </w:rPr>
        <w:t>附件二：投标预审资料提交模板（点击下载）</w:t>
      </w:r>
    </w:p>
    <w:p>
      <w:pPr>
        <w:adjustRightInd w:val="0"/>
        <w:snapToGrid w:val="0"/>
        <w:spacing w:line="440" w:lineRule="exact"/>
        <w:jc w:val="right"/>
        <w:rPr>
          <w:rFonts w:hint="eastAsia" w:ascii="宋体" w:hAnsi="宋体" w:eastAsia="宋体" w:cs="宋体"/>
          <w:color w:val="auto"/>
          <w:sz w:val="24"/>
        </w:rPr>
      </w:pPr>
      <w:r>
        <w:rPr>
          <w:rFonts w:hint="eastAsia" w:ascii="宋体" w:hAnsi="宋体" w:eastAsia="宋体" w:cs="宋体"/>
          <w:color w:val="auto"/>
          <w:sz w:val="24"/>
          <w:lang w:val="en-US" w:eastAsia="zh-CN"/>
        </w:rPr>
        <w:t>招标人：</w:t>
      </w:r>
      <w:r>
        <w:rPr>
          <w:rFonts w:hint="eastAsia" w:ascii="宋体" w:hAnsi="宋体" w:eastAsia="宋体" w:cs="宋体"/>
          <w:color w:val="auto"/>
          <w:sz w:val="24"/>
        </w:rPr>
        <w:t>舍得酒业股份有限公司</w:t>
      </w:r>
    </w:p>
    <w:p>
      <w:pPr>
        <w:jc w:val="right"/>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日</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15AC7766"/>
    <w:rsid w:val="47BD4A2A"/>
    <w:rsid w:val="5798756F"/>
    <w:rsid w:val="659B022A"/>
    <w:rsid w:val="680F6B48"/>
    <w:rsid w:val="6EB83BFB"/>
    <w:rsid w:val="75522D7E"/>
    <w:rsid w:val="75AB4DFD"/>
    <w:rsid w:val="7B2A7C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kern w:val="0"/>
      <w:sz w:val="20"/>
      <w:szCs w:val="20"/>
    </w:rPr>
  </w:style>
  <w:style w:type="paragraph" w:styleId="3">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2024-02-18T08:33:00Z</dcterms:created>
  <dc:creator>TPSD-ye</dc:creator>
  <cp:lastModifiedBy>TPSD-ye</cp:lastModifiedBy>
  <dcterms:modified xsi:type="dcterms:W3CDTF">2024-02-20T01:30:15Z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39AC2C40FB1D4673AA70547A4DF3FEC0_12</vt:lpwstr>
  </property>
</Properties>
</file>