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right" w:leader="dot" w:pos="9471"/>
        </w:tabs>
        <w:jc w:val="center"/>
        <w:rPr>
          <w:rFonts w:ascii="宋体" w:hAnsi="宋体"/>
          <w:b/>
          <w:bCs/>
          <w:sz w:val="32"/>
          <w:szCs w:val="32"/>
        </w:rPr>
      </w:pPr>
      <w:bookmarkStart w:id="0" w:name="_Toc287607736"/>
      <w:bookmarkStart w:id="1" w:name="_Toc277082543"/>
      <w:bookmarkStart w:id="2" w:name="_Toc19814"/>
      <w:bookmarkStart w:id="3" w:name="_Toc224103307"/>
      <w:r>
        <w:rPr>
          <w:rFonts w:hint="eastAsia" w:ascii="宋体" w:hAnsi="宋体"/>
          <w:b/>
          <w:bCs/>
          <w:sz w:val="32"/>
          <w:szCs w:val="32"/>
        </w:rPr>
        <w:t>舍得酒业股份有限公司</w:t>
      </w:r>
    </w:p>
    <w:p>
      <w:pPr>
        <w:spacing w:line="460" w:lineRule="exact"/>
        <w:ind w:right="6"/>
        <w:jc w:val="center"/>
        <w:rPr>
          <w:rFonts w:hint="eastAsia" w:ascii="Times New Roman" w:hAnsi="Times New Roman" w:cs="Times New Roman"/>
          <w:b/>
          <w:sz w:val="30"/>
          <w:szCs w:val="30"/>
        </w:rPr>
      </w:pPr>
      <w:bookmarkStart w:id="4" w:name="_Toc11376"/>
      <w:bookmarkStart w:id="5" w:name="_Toc30966"/>
      <w:bookmarkStart w:id="6" w:name="_Toc133571394"/>
      <w:r>
        <w:rPr>
          <w:rFonts w:hint="eastAsia" w:ascii="Times New Roman" w:hAnsi="Times New Roman" w:cs="Times New Roman"/>
          <w:b/>
          <w:sz w:val="30"/>
          <w:szCs w:val="30"/>
        </w:rPr>
        <w:t>增产扩能项目-包装中心托盘采购</w:t>
      </w:r>
      <w:bookmarkEnd w:id="4"/>
      <w:bookmarkEnd w:id="5"/>
      <w:bookmarkEnd w:id="6"/>
      <w:r>
        <w:rPr>
          <w:rFonts w:hint="eastAsia" w:ascii="Times New Roman" w:hAnsi="Times New Roman" w:cs="Times New Roman"/>
          <w:b/>
          <w:sz w:val="30"/>
          <w:szCs w:val="30"/>
        </w:rPr>
        <w:t>项目</w:t>
      </w:r>
    </w:p>
    <w:bookmarkEnd w:id="0"/>
    <w:bookmarkEnd w:id="1"/>
    <w:bookmarkEnd w:id="2"/>
    <w:bookmarkEnd w:id="3"/>
    <w:p>
      <w:pPr>
        <w:pStyle w:val="3"/>
        <w:snapToGrid w:val="0"/>
        <w:spacing w:line="460" w:lineRule="exact"/>
        <w:jc w:val="center"/>
        <w:rPr>
          <w:rFonts w:hAnsi="宋体"/>
          <w:b/>
          <w:bCs/>
          <w:sz w:val="32"/>
          <w:szCs w:val="32"/>
        </w:rPr>
      </w:pPr>
      <w:bookmarkStart w:id="7" w:name="_Toc2322"/>
      <w:bookmarkStart w:id="8" w:name="_Toc287607737"/>
      <w:bookmarkStart w:id="9" w:name="_Toc18608"/>
      <w:bookmarkStart w:id="10" w:name="_Toc277082544"/>
      <w:bookmarkStart w:id="11" w:name="_Toc224103308"/>
      <w:bookmarkStart w:id="12" w:name="_Toc38897942"/>
      <w:r>
        <w:rPr>
          <w:rFonts w:hint="eastAsia" w:hAnsi="宋体"/>
          <w:b/>
          <w:bCs/>
          <w:sz w:val="32"/>
          <w:szCs w:val="32"/>
        </w:rPr>
        <w:t>招标公告（资格预审）</w:t>
      </w:r>
    </w:p>
    <w:p>
      <w:pPr>
        <w:tabs>
          <w:tab w:val="right" w:leader="dot" w:pos="9471"/>
        </w:tabs>
        <w:spacing w:line="420" w:lineRule="exact"/>
        <w:jc w:val="center"/>
        <w:rPr>
          <w:rFonts w:ascii="宋体" w:hAnsi="宋体"/>
          <w:bCs/>
          <w:sz w:val="24"/>
        </w:rPr>
      </w:pPr>
      <w:r>
        <w:rPr>
          <w:rFonts w:hint="eastAsia" w:ascii="宋体" w:hAnsi="宋体"/>
          <w:bCs/>
          <w:sz w:val="24"/>
        </w:rPr>
        <w:t>招标编号：舍司招（202</w:t>
      </w:r>
      <w:r>
        <w:rPr>
          <w:rFonts w:hint="eastAsia" w:ascii="宋体" w:hAnsi="宋体"/>
          <w:bCs/>
          <w:sz w:val="24"/>
          <w:lang w:val="en-US" w:eastAsia="zh-CN"/>
        </w:rPr>
        <w:t>4</w:t>
      </w:r>
      <w:r>
        <w:rPr>
          <w:rFonts w:hint="eastAsia" w:ascii="宋体" w:hAnsi="宋体"/>
          <w:bCs/>
          <w:sz w:val="24"/>
        </w:rPr>
        <w:t>）ZC2-</w:t>
      </w:r>
      <w:r>
        <w:rPr>
          <w:rFonts w:hint="eastAsia" w:ascii="宋体" w:hAnsi="宋体"/>
          <w:bCs/>
          <w:sz w:val="24"/>
          <w:lang w:val="en-US" w:eastAsia="zh-CN"/>
        </w:rPr>
        <w:t>001</w:t>
      </w:r>
      <w:r>
        <w:rPr>
          <w:rFonts w:hint="eastAsia" w:ascii="宋体" w:hAnsi="宋体"/>
          <w:bCs/>
          <w:sz w:val="24"/>
        </w:rPr>
        <w:t>号</w:t>
      </w:r>
    </w:p>
    <w:p>
      <w:pPr>
        <w:shd w:val="clear" w:color="auto" w:fill="auto"/>
        <w:spacing w:line="460" w:lineRule="exact"/>
        <w:rPr>
          <w:rFonts w:hint="eastAsia" w:ascii="宋体" w:hAnsi="宋体" w:cs="宋体"/>
          <w:b/>
          <w:bCs/>
          <w:sz w:val="24"/>
          <w:highlight w:val="none"/>
        </w:rPr>
      </w:pPr>
      <w:r>
        <w:rPr>
          <w:rFonts w:hint="eastAsia" w:ascii="宋体" w:hAnsi="宋体" w:cs="宋体"/>
          <w:b/>
          <w:bCs/>
          <w:sz w:val="24"/>
          <w:highlight w:val="none"/>
        </w:rPr>
        <w:t>1. 招标条件</w:t>
      </w:r>
    </w:p>
    <w:p>
      <w:pPr>
        <w:tabs>
          <w:tab w:val="right" w:leader="dot" w:pos="9471"/>
        </w:tabs>
        <w:spacing w:line="440" w:lineRule="exact"/>
        <w:ind w:firstLine="480" w:firstLineChars="200"/>
        <w:jc w:val="left"/>
        <w:rPr>
          <w:rFonts w:ascii="宋体" w:hAnsi="宋体" w:cs="宋体"/>
          <w:sz w:val="24"/>
        </w:rPr>
      </w:pPr>
      <w:r>
        <w:rPr>
          <w:rFonts w:hint="eastAsia" w:ascii="宋体" w:hAnsi="宋体" w:cs="宋体"/>
          <w:snapToGrid w:val="0"/>
          <w:kern w:val="0"/>
          <w:sz w:val="24"/>
        </w:rPr>
        <w:t>本招标项目</w:t>
      </w:r>
      <w:r>
        <w:rPr>
          <w:rFonts w:hint="eastAsia" w:ascii="宋体" w:hAnsi="宋体" w:cs="宋体"/>
          <w:snapToGrid w:val="0"/>
          <w:kern w:val="0"/>
          <w:sz w:val="24"/>
          <w:u w:val="single"/>
          <w:lang w:val="en-US" w:eastAsia="zh-CN"/>
        </w:rPr>
        <w:t>增产扩能项目-包装中心托盘采购项目</w:t>
      </w:r>
      <w:r>
        <w:rPr>
          <w:rFonts w:hint="eastAsia" w:ascii="宋体" w:hAnsi="宋体" w:cs="宋体"/>
          <w:snapToGrid w:val="0"/>
          <w:kern w:val="0"/>
          <w:sz w:val="24"/>
        </w:rPr>
        <w:t>已由</w:t>
      </w:r>
      <w:r>
        <w:rPr>
          <w:rFonts w:hint="eastAsia" w:ascii="宋体" w:hAnsi="宋体" w:cs="宋体"/>
          <w:snapToGrid w:val="0"/>
          <w:kern w:val="0"/>
          <w:sz w:val="24"/>
          <w:u w:val="single"/>
        </w:rPr>
        <w:t>舍得酒业股份有限公司</w:t>
      </w:r>
      <w:r>
        <w:rPr>
          <w:rFonts w:hint="eastAsia" w:ascii="宋体" w:hAnsi="宋体" w:cs="宋体"/>
          <w:snapToGrid w:val="0"/>
          <w:kern w:val="0"/>
          <w:sz w:val="24"/>
        </w:rPr>
        <w:t>确定实施，项目业主为</w:t>
      </w:r>
      <w:r>
        <w:rPr>
          <w:rFonts w:hint="eastAsia" w:ascii="宋体" w:hAnsi="宋体" w:cs="宋体"/>
          <w:snapToGrid w:val="0"/>
          <w:kern w:val="0"/>
          <w:sz w:val="24"/>
          <w:u w:val="single"/>
        </w:rPr>
        <w:t xml:space="preserve"> 舍得酒业股份有限公司 </w:t>
      </w:r>
      <w:r>
        <w:rPr>
          <w:rFonts w:hint="eastAsia" w:ascii="宋体" w:hAnsi="宋体" w:cs="宋体"/>
          <w:snapToGrid w:val="0"/>
          <w:kern w:val="0"/>
          <w:sz w:val="24"/>
        </w:rPr>
        <w:t>，建设资金来自</w:t>
      </w:r>
      <w:r>
        <w:rPr>
          <w:rFonts w:hint="eastAsia" w:ascii="宋体" w:hAnsi="宋体" w:cs="宋体"/>
          <w:snapToGrid w:val="0"/>
          <w:kern w:val="0"/>
          <w:sz w:val="24"/>
          <w:u w:val="single"/>
        </w:rPr>
        <w:t xml:space="preserve"> 业主自筹 </w:t>
      </w:r>
      <w:r>
        <w:rPr>
          <w:rFonts w:hint="eastAsia" w:ascii="宋体" w:hAnsi="宋体" w:cs="宋体"/>
          <w:snapToGrid w:val="0"/>
          <w:kern w:val="0"/>
          <w:sz w:val="24"/>
        </w:rPr>
        <w:t>，项目出资比例为</w:t>
      </w:r>
      <w:r>
        <w:rPr>
          <w:rFonts w:hint="eastAsia" w:ascii="宋体" w:hAnsi="宋体" w:cs="宋体"/>
          <w:snapToGrid w:val="0"/>
          <w:kern w:val="0"/>
          <w:sz w:val="24"/>
          <w:u w:val="single"/>
        </w:rPr>
        <w:t xml:space="preserve"> 100% </w:t>
      </w:r>
      <w:r>
        <w:rPr>
          <w:rFonts w:hint="eastAsia" w:ascii="宋体" w:hAnsi="宋体" w:cs="宋体"/>
          <w:snapToGrid w:val="0"/>
          <w:kern w:val="0"/>
          <w:sz w:val="24"/>
        </w:rPr>
        <w:t>，招标人</w:t>
      </w:r>
      <w:r>
        <w:rPr>
          <w:rFonts w:hint="eastAsia" w:ascii="宋体" w:hAnsi="宋体" w:cs="宋体"/>
          <w:snapToGrid w:val="0"/>
          <w:kern w:val="0"/>
          <w:position w:val="-2"/>
          <w:sz w:val="24"/>
        </w:rPr>
        <w:t>为</w:t>
      </w:r>
      <w:r>
        <w:rPr>
          <w:rFonts w:hint="eastAsia" w:ascii="宋体" w:hAnsi="宋体" w:cs="宋体"/>
          <w:snapToGrid w:val="0"/>
          <w:kern w:val="0"/>
          <w:sz w:val="24"/>
          <w:u w:val="single"/>
        </w:rPr>
        <w:t>舍得酒业股份有限公司</w:t>
      </w:r>
      <w:r>
        <w:rPr>
          <w:rFonts w:hint="eastAsia" w:ascii="宋体" w:hAnsi="宋体" w:cs="宋体"/>
          <w:snapToGrid w:val="0"/>
          <w:kern w:val="0"/>
          <w:position w:val="-2"/>
          <w:sz w:val="24"/>
        </w:rPr>
        <w:t>。项目已具备招标条件，现对该项目进行公开招标，</w:t>
      </w:r>
      <w:r>
        <w:rPr>
          <w:rFonts w:hint="eastAsia" w:ascii="宋体" w:hAnsi="宋体" w:cs="宋体"/>
          <w:sz w:val="24"/>
        </w:rPr>
        <w:t>欢迎有兴趣的潜在投标人递交书面的资格预审文件，并通过资格预审程序确定合格的投标人邀请名单。</w:t>
      </w:r>
    </w:p>
    <w:bookmarkEnd w:id="7"/>
    <w:bookmarkEnd w:id="8"/>
    <w:bookmarkEnd w:id="9"/>
    <w:bookmarkEnd w:id="10"/>
    <w:bookmarkEnd w:id="11"/>
    <w:bookmarkEnd w:id="12"/>
    <w:p>
      <w:pPr>
        <w:spacing w:line="460" w:lineRule="exact"/>
        <w:rPr>
          <w:rFonts w:hint="eastAsia" w:ascii="宋体" w:hAnsi="宋体" w:cs="宋体"/>
          <w:b/>
          <w:bCs/>
          <w:sz w:val="24"/>
        </w:rPr>
      </w:pPr>
      <w:bookmarkStart w:id="13" w:name="_Toc224103309"/>
      <w:bookmarkStart w:id="14" w:name="_Toc277082545"/>
      <w:bookmarkStart w:id="15" w:name="_Toc287607738"/>
      <w:r>
        <w:rPr>
          <w:rFonts w:hint="eastAsia" w:ascii="宋体" w:hAnsi="宋体" w:cs="宋体"/>
          <w:b/>
          <w:bCs/>
          <w:sz w:val="24"/>
        </w:rPr>
        <w:t>2. 项目概况与招标范围</w:t>
      </w:r>
    </w:p>
    <w:p>
      <w:pPr>
        <w:adjustRightInd w:val="0"/>
        <w:snapToGrid w:val="0"/>
        <w:spacing w:line="460" w:lineRule="exact"/>
        <w:ind w:firstLine="240" w:firstLineChars="100"/>
        <w:rPr>
          <w:rFonts w:ascii="宋体" w:hAnsi="宋体" w:cs="宋体"/>
          <w:sz w:val="24"/>
        </w:rPr>
      </w:pPr>
      <w:r>
        <w:rPr>
          <w:rFonts w:hint="eastAsia" w:ascii="宋体" w:hAnsi="宋体" w:cs="宋体"/>
          <w:sz w:val="24"/>
        </w:rPr>
        <w:t>2.1</w:t>
      </w:r>
      <w:r>
        <w:rPr>
          <w:rFonts w:ascii="宋体" w:hAnsi="宋体" w:cs="宋体"/>
          <w:sz w:val="24"/>
        </w:rPr>
        <w:t xml:space="preserve"> </w:t>
      </w:r>
      <w:r>
        <w:rPr>
          <w:rFonts w:hint="eastAsia" w:ascii="宋体" w:hAnsi="宋体" w:cs="宋体"/>
          <w:sz w:val="24"/>
        </w:rPr>
        <w:t>项目名称：</w:t>
      </w:r>
      <w:r>
        <w:rPr>
          <w:rFonts w:hint="eastAsia"/>
          <w:bCs/>
          <w:sz w:val="24"/>
          <w:lang w:val="en-US" w:eastAsia="zh-CN"/>
        </w:rPr>
        <w:t>增产扩能项目-包装中心托盘采购</w:t>
      </w:r>
    </w:p>
    <w:p>
      <w:pPr>
        <w:spacing w:line="460" w:lineRule="exact"/>
        <w:ind w:firstLine="240" w:firstLineChars="100"/>
        <w:rPr>
          <w:rFonts w:ascii="宋体" w:hAnsi="宋体"/>
          <w:snapToGrid w:val="0"/>
          <w:sz w:val="24"/>
        </w:rPr>
      </w:pPr>
      <w:r>
        <w:rPr>
          <w:rFonts w:hint="eastAsia" w:ascii="宋体" w:hAnsi="宋体"/>
          <w:snapToGrid w:val="0"/>
          <w:sz w:val="24"/>
        </w:rPr>
        <w:t>2.2</w:t>
      </w:r>
      <w:r>
        <w:rPr>
          <w:rFonts w:hint="eastAsia" w:ascii="宋体" w:hAnsi="宋体"/>
          <w:snapToGrid w:val="0"/>
          <w:sz w:val="24"/>
          <w:lang w:val="en-US" w:eastAsia="zh-CN"/>
        </w:rPr>
        <w:t xml:space="preserve"> </w:t>
      </w:r>
      <w:r>
        <w:rPr>
          <w:rFonts w:hint="eastAsia" w:ascii="宋体" w:hAnsi="宋体"/>
          <w:snapToGrid w:val="0"/>
          <w:sz w:val="24"/>
        </w:rPr>
        <w:t>交货地址：四川省射洪市沱牌镇沱牌大道999号</w:t>
      </w:r>
    </w:p>
    <w:p>
      <w:pPr>
        <w:spacing w:line="360" w:lineRule="auto"/>
        <w:ind w:firstLine="240" w:firstLineChars="100"/>
        <w:rPr>
          <w:rFonts w:ascii="宋体" w:hAnsi="宋体" w:eastAsia="宋体" w:cs="宋体"/>
          <w:color w:val="000000"/>
          <w:sz w:val="24"/>
        </w:rPr>
      </w:pPr>
      <w:r>
        <w:rPr>
          <w:rFonts w:ascii="宋体" w:hAnsi="宋体"/>
          <w:snapToGrid w:val="0"/>
          <w:sz w:val="24"/>
          <w:highlight w:val="none"/>
        </w:rPr>
        <w:t>2.</w:t>
      </w:r>
      <w:r>
        <w:rPr>
          <w:rFonts w:hint="eastAsia" w:ascii="宋体" w:hAnsi="宋体"/>
          <w:snapToGrid w:val="0"/>
          <w:sz w:val="24"/>
          <w:highlight w:val="none"/>
        </w:rPr>
        <w:t>3</w:t>
      </w:r>
      <w:r>
        <w:rPr>
          <w:rFonts w:ascii="宋体" w:hAnsi="宋体"/>
          <w:snapToGrid w:val="0"/>
          <w:sz w:val="24"/>
          <w:highlight w:val="none"/>
        </w:rPr>
        <w:t xml:space="preserve"> </w:t>
      </w:r>
      <w:r>
        <w:rPr>
          <w:rFonts w:hint="eastAsia" w:ascii="宋体" w:hAnsi="宋体"/>
          <w:snapToGrid w:val="0"/>
          <w:sz w:val="24"/>
          <w:highlight w:val="none"/>
        </w:rPr>
        <w:t>招标范围：</w:t>
      </w:r>
      <w:r>
        <w:rPr>
          <w:rFonts w:hint="eastAsia" w:ascii="宋体" w:hAnsi="宋体" w:eastAsia="宋体" w:cs="宋体"/>
          <w:color w:val="000000"/>
          <w:sz w:val="24"/>
        </w:rPr>
        <w:t>本标段的托盘数量及参数如下表，具体包括但不限于以下内容：</w:t>
      </w:r>
    </w:p>
    <w:tbl>
      <w:tblPr>
        <w:tblStyle w:val="7"/>
        <w:tblW w:w="8402" w:type="dxa"/>
        <w:jc w:val="center"/>
        <w:tblLayout w:type="fixed"/>
        <w:tblCellMar>
          <w:top w:w="0" w:type="dxa"/>
          <w:left w:w="108" w:type="dxa"/>
          <w:bottom w:w="0" w:type="dxa"/>
          <w:right w:w="108" w:type="dxa"/>
        </w:tblCellMar>
      </w:tblPr>
      <w:tblGrid>
        <w:gridCol w:w="1111"/>
        <w:gridCol w:w="2227"/>
        <w:gridCol w:w="882"/>
        <w:gridCol w:w="850"/>
        <w:gridCol w:w="1061"/>
        <w:gridCol w:w="757"/>
        <w:gridCol w:w="757"/>
        <w:gridCol w:w="757"/>
      </w:tblGrid>
      <w:tr>
        <w:tblPrEx>
          <w:tblCellMar>
            <w:top w:w="0" w:type="dxa"/>
            <w:left w:w="108" w:type="dxa"/>
            <w:bottom w:w="0" w:type="dxa"/>
            <w:right w:w="108" w:type="dxa"/>
          </w:tblCellMar>
        </w:tblPrEx>
        <w:trPr>
          <w:trHeight w:val="285" w:hRule="atLeast"/>
          <w:jc w:val="center"/>
        </w:trPr>
        <w:tc>
          <w:tcPr>
            <w:tcW w:w="1111"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托盘型号</w:t>
            </w:r>
          </w:p>
        </w:tc>
        <w:tc>
          <w:tcPr>
            <w:tcW w:w="2227"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托盘外形尺寸（长×宽×厚）</w:t>
            </w:r>
            <w:r>
              <w:rPr>
                <w:rFonts w:ascii="宋体" w:hAnsi="宋体" w:cs="宋体"/>
                <w:color w:val="000000"/>
                <w:kern w:val="0"/>
                <w:sz w:val="22"/>
                <w:szCs w:val="22"/>
              </w:rPr>
              <w:t>mm</w:t>
            </w:r>
          </w:p>
        </w:tc>
        <w:tc>
          <w:tcPr>
            <w:tcW w:w="882"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材质</w:t>
            </w:r>
          </w:p>
        </w:tc>
        <w:tc>
          <w:tcPr>
            <w:tcW w:w="850"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数量（块）</w:t>
            </w:r>
          </w:p>
        </w:tc>
        <w:tc>
          <w:tcPr>
            <w:tcW w:w="1061"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使用</w:t>
            </w:r>
            <w:r>
              <w:rPr>
                <w:rFonts w:ascii="宋体" w:hAnsi="宋体" w:cs="宋体"/>
                <w:color w:val="000000"/>
                <w:kern w:val="0"/>
                <w:sz w:val="22"/>
                <w:szCs w:val="22"/>
              </w:rPr>
              <w:br w:type="textWrapping"/>
            </w:r>
            <w:r>
              <w:rPr>
                <w:rFonts w:hint="eastAsia" w:ascii="宋体" w:hAnsi="宋体" w:cs="宋体"/>
                <w:color w:val="000000"/>
                <w:kern w:val="0"/>
                <w:sz w:val="22"/>
                <w:szCs w:val="22"/>
              </w:rPr>
              <w:t>位置</w:t>
            </w:r>
          </w:p>
        </w:tc>
        <w:tc>
          <w:tcPr>
            <w:tcW w:w="2271" w:type="dxa"/>
            <w:gridSpan w:val="3"/>
            <w:tcBorders>
              <w:top w:val="single" w:color="auto" w:sz="4" w:space="0"/>
              <w:left w:val="nil"/>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荷载（</w:t>
            </w:r>
            <w:r>
              <w:rPr>
                <w:rFonts w:ascii="宋体" w:hAnsi="宋体" w:cs="宋体"/>
                <w:color w:val="000000"/>
                <w:kern w:val="0"/>
                <w:sz w:val="22"/>
                <w:szCs w:val="22"/>
              </w:rPr>
              <w:t>kg）</w:t>
            </w:r>
          </w:p>
        </w:tc>
      </w:tr>
      <w:tr>
        <w:tblPrEx>
          <w:tblCellMar>
            <w:top w:w="0" w:type="dxa"/>
            <w:left w:w="108" w:type="dxa"/>
            <w:bottom w:w="0" w:type="dxa"/>
            <w:right w:w="108" w:type="dxa"/>
          </w:tblCellMar>
        </w:tblPrEx>
        <w:trPr>
          <w:trHeight w:val="540" w:hRule="atLeast"/>
          <w:jc w:val="center"/>
        </w:trPr>
        <w:tc>
          <w:tcPr>
            <w:tcW w:w="111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p>
        </w:tc>
        <w:tc>
          <w:tcPr>
            <w:tcW w:w="222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p>
        </w:tc>
        <w:tc>
          <w:tcPr>
            <w:tcW w:w="88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p>
        </w:tc>
        <w:tc>
          <w:tcPr>
            <w:tcW w:w="85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p>
        </w:tc>
        <w:tc>
          <w:tcPr>
            <w:tcW w:w="106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p>
        </w:tc>
        <w:tc>
          <w:tcPr>
            <w:tcW w:w="757"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动载</w:t>
            </w:r>
            <w:r>
              <w:rPr>
                <w:rFonts w:ascii="宋体" w:hAnsi="宋体" w:cs="宋体"/>
                <w:color w:val="000000"/>
                <w:kern w:val="0"/>
                <w:sz w:val="22"/>
                <w:szCs w:val="22"/>
              </w:rPr>
              <w:t>(kg)</w:t>
            </w:r>
          </w:p>
        </w:tc>
        <w:tc>
          <w:tcPr>
            <w:tcW w:w="757"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静载</w:t>
            </w:r>
            <w:r>
              <w:rPr>
                <w:rFonts w:ascii="宋体" w:hAnsi="宋体" w:cs="宋体"/>
                <w:color w:val="000000"/>
                <w:kern w:val="0"/>
                <w:sz w:val="22"/>
                <w:szCs w:val="22"/>
              </w:rPr>
              <w:t>(kg)</w:t>
            </w:r>
          </w:p>
        </w:tc>
        <w:tc>
          <w:tcPr>
            <w:tcW w:w="757"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货架</w:t>
            </w:r>
            <w:r>
              <w:rPr>
                <w:rFonts w:ascii="宋体" w:hAnsi="宋体" w:cs="宋体"/>
                <w:color w:val="000000"/>
                <w:kern w:val="0"/>
                <w:sz w:val="22"/>
                <w:szCs w:val="22"/>
              </w:rPr>
              <w:t>(kg)</w:t>
            </w:r>
          </w:p>
        </w:tc>
      </w:tr>
      <w:tr>
        <w:tblPrEx>
          <w:tblCellMar>
            <w:top w:w="0" w:type="dxa"/>
            <w:left w:w="108" w:type="dxa"/>
            <w:bottom w:w="0" w:type="dxa"/>
            <w:right w:w="108" w:type="dxa"/>
          </w:tblCellMar>
        </w:tblPrEx>
        <w:trPr>
          <w:trHeight w:val="642" w:hRule="atLeast"/>
          <w:jc w:val="center"/>
        </w:trPr>
        <w:tc>
          <w:tcPr>
            <w:tcW w:w="1111"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平板光面川字型</w:t>
            </w:r>
            <w:r>
              <w:rPr>
                <w:rFonts w:ascii="宋体" w:hAnsi="宋体" w:cs="宋体"/>
                <w:color w:val="000000"/>
                <w:kern w:val="0"/>
                <w:sz w:val="22"/>
                <w:szCs w:val="22"/>
              </w:rPr>
              <w:br w:type="textWrapping"/>
            </w:r>
            <w:r>
              <w:rPr>
                <w:rFonts w:hint="eastAsia" w:ascii="宋体" w:hAnsi="宋体" w:cs="宋体"/>
                <w:color w:val="000000"/>
                <w:kern w:val="0"/>
                <w:sz w:val="22"/>
                <w:szCs w:val="22"/>
              </w:rPr>
              <w:t>（内置钢管）</w:t>
            </w:r>
          </w:p>
        </w:tc>
        <w:tc>
          <w:tcPr>
            <w:tcW w:w="2227"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1200mm×1000mm×160mm（</w:t>
            </w:r>
            <w:r>
              <w:rPr>
                <w:rFonts w:hint="eastAsia" w:ascii="宋体" w:hAnsi="宋体" w:cs="宋体"/>
                <w:color w:val="000000"/>
                <w:kern w:val="0"/>
                <w:sz w:val="22"/>
                <w:szCs w:val="22"/>
              </w:rPr>
              <w:t>主叉孔高度</w:t>
            </w:r>
            <w:r>
              <w:rPr>
                <w:rFonts w:ascii="宋体" w:hAnsi="宋体" w:cs="宋体"/>
                <w:color w:val="000000"/>
                <w:kern w:val="0"/>
                <w:sz w:val="22"/>
                <w:szCs w:val="22"/>
              </w:rPr>
              <w:t>120mm，宽度320mm）</w:t>
            </w:r>
          </w:p>
        </w:tc>
        <w:tc>
          <w:tcPr>
            <w:tcW w:w="882"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全新高密度聚丙烯</w:t>
            </w:r>
          </w:p>
        </w:tc>
        <w:tc>
          <w:tcPr>
            <w:tcW w:w="850"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2000</w:t>
            </w:r>
          </w:p>
        </w:tc>
        <w:tc>
          <w:tcPr>
            <w:tcW w:w="1061"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包材库</w:t>
            </w:r>
          </w:p>
        </w:tc>
        <w:tc>
          <w:tcPr>
            <w:tcW w:w="757"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1500</w:t>
            </w:r>
          </w:p>
        </w:tc>
        <w:tc>
          <w:tcPr>
            <w:tcW w:w="757"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6000</w:t>
            </w:r>
          </w:p>
        </w:tc>
        <w:tc>
          <w:tcPr>
            <w:tcW w:w="757"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1000</w:t>
            </w:r>
          </w:p>
        </w:tc>
      </w:tr>
      <w:tr>
        <w:tblPrEx>
          <w:tblCellMar>
            <w:top w:w="0" w:type="dxa"/>
            <w:left w:w="108" w:type="dxa"/>
            <w:bottom w:w="0" w:type="dxa"/>
            <w:right w:w="108" w:type="dxa"/>
          </w:tblCellMar>
        </w:tblPrEx>
        <w:trPr>
          <w:trHeight w:val="499" w:hRule="atLeast"/>
          <w:jc w:val="center"/>
        </w:trPr>
        <w:tc>
          <w:tcPr>
            <w:tcW w:w="1111" w:type="dxa"/>
            <w:vMerge w:val="continue"/>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p>
        </w:tc>
        <w:tc>
          <w:tcPr>
            <w:tcW w:w="2227" w:type="dxa"/>
            <w:vMerge w:val="continue"/>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p>
        </w:tc>
        <w:tc>
          <w:tcPr>
            <w:tcW w:w="882" w:type="dxa"/>
            <w:vMerge w:val="continue"/>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p>
        </w:tc>
        <w:tc>
          <w:tcPr>
            <w:tcW w:w="850"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2"/>
                <w:szCs w:val="22"/>
              </w:rPr>
            </w:pPr>
            <w:r>
              <w:rPr>
                <w:rFonts w:ascii="等线" w:hAnsi="等线" w:eastAsia="等线" w:cs="宋体"/>
                <w:color w:val="000000"/>
                <w:kern w:val="0"/>
                <w:sz w:val="22"/>
                <w:szCs w:val="22"/>
              </w:rPr>
              <w:t>20000</w:t>
            </w:r>
          </w:p>
        </w:tc>
        <w:tc>
          <w:tcPr>
            <w:tcW w:w="106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成品库</w:t>
            </w:r>
          </w:p>
        </w:tc>
        <w:tc>
          <w:tcPr>
            <w:tcW w:w="757" w:type="dxa"/>
            <w:vMerge w:val="continue"/>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p>
        </w:tc>
        <w:tc>
          <w:tcPr>
            <w:tcW w:w="757" w:type="dxa"/>
            <w:vMerge w:val="continue"/>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p>
        </w:tc>
        <w:tc>
          <w:tcPr>
            <w:tcW w:w="757" w:type="dxa"/>
            <w:vMerge w:val="continue"/>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22"/>
                <w:szCs w:val="22"/>
              </w:rPr>
            </w:pPr>
          </w:p>
        </w:tc>
      </w:tr>
    </w:tbl>
    <w:p>
      <w:pPr>
        <w:spacing w:line="360" w:lineRule="auto"/>
        <w:ind w:firstLine="240" w:firstLineChars="100"/>
        <w:rPr>
          <w:rFonts w:ascii="宋体" w:hAnsi="宋体" w:eastAsia="宋体" w:cs="宋体"/>
          <w:color w:val="000000"/>
          <w:sz w:val="24"/>
        </w:rPr>
      </w:pPr>
    </w:p>
    <w:p>
      <w:pPr>
        <w:spacing w:line="360" w:lineRule="auto"/>
        <w:ind w:firstLine="240" w:firstLineChars="100"/>
        <w:rPr>
          <w:rFonts w:hint="default" w:ascii="宋体" w:hAnsi="宋体" w:eastAsia="宋体" w:cs="Times New Roman"/>
          <w:snapToGrid w:val="0"/>
          <w:sz w:val="24"/>
          <w:szCs w:val="24"/>
          <w:highlight w:val="none"/>
          <w:lang w:val="en-US" w:eastAsia="zh-CN"/>
        </w:rPr>
      </w:pPr>
      <w:r>
        <w:rPr>
          <w:rFonts w:hint="eastAsia" w:ascii="宋体" w:hAnsi="宋体" w:eastAsia="宋体" w:cs="Times New Roman"/>
          <w:snapToGrid w:val="0"/>
          <w:sz w:val="24"/>
          <w:szCs w:val="24"/>
          <w:highlight w:val="none"/>
          <w:lang w:val="en-US" w:eastAsia="zh-CN"/>
        </w:rPr>
        <w:t>2.4</w:t>
      </w:r>
      <w:r>
        <w:rPr>
          <w:rFonts w:hint="eastAsia" w:ascii="宋体" w:hAnsi="宋体" w:eastAsia="宋体" w:cs="宋体"/>
          <w:color w:val="000000"/>
          <w:sz w:val="24"/>
          <w:lang w:val="en-US" w:eastAsia="zh-CN"/>
        </w:rPr>
        <w:t>项目概述：</w:t>
      </w:r>
      <w:r>
        <w:rPr>
          <w:rFonts w:hint="eastAsia" w:ascii="宋体" w:hAnsi="宋体" w:eastAsia="宋体" w:cs="宋体"/>
          <w:color w:val="000000"/>
          <w:sz w:val="24"/>
        </w:rPr>
        <w:t>本为包装中心项目包装中心包材库和成品库高位货架配套使用托盘的采购，包括制造、试验、装配、包装、运输、交货的服务等，建设地点位于四川省射洪市沱牌镇舍得酒业生态酿酒工业园内。</w:t>
      </w:r>
    </w:p>
    <w:p>
      <w:pPr>
        <w:adjustRightInd w:val="0"/>
        <w:snapToGrid w:val="0"/>
        <w:spacing w:line="460" w:lineRule="exact"/>
        <w:ind w:firstLine="480" w:firstLineChars="200"/>
        <w:rPr>
          <w:rFonts w:hint="eastAsia" w:ascii="宋体" w:hAnsi="宋体"/>
          <w:snapToGrid w:val="0"/>
          <w:sz w:val="24"/>
          <w:highlight w:val="none"/>
        </w:rPr>
      </w:pPr>
      <w:r>
        <w:rPr>
          <w:rFonts w:hint="eastAsia" w:ascii="宋体" w:hAnsi="宋体"/>
          <w:snapToGrid w:val="0"/>
          <w:sz w:val="24"/>
          <w:highlight w:val="none"/>
        </w:rPr>
        <w:t>2.</w:t>
      </w:r>
      <w:r>
        <w:rPr>
          <w:rFonts w:hint="eastAsia" w:ascii="宋体" w:hAnsi="宋体"/>
          <w:snapToGrid w:val="0"/>
          <w:sz w:val="24"/>
          <w:highlight w:val="none"/>
          <w:lang w:val="en-US" w:eastAsia="zh-CN"/>
        </w:rPr>
        <w:t>5</w:t>
      </w:r>
      <w:r>
        <w:rPr>
          <w:rFonts w:hint="eastAsia" w:ascii="宋体" w:hAnsi="宋体" w:cs="宋体"/>
          <w:sz w:val="24"/>
          <w:highlight w:val="none"/>
        </w:rPr>
        <w:t>质量标</w:t>
      </w:r>
      <w:r>
        <w:rPr>
          <w:rFonts w:hint="eastAsia" w:ascii="宋体" w:hAnsi="宋体"/>
          <w:snapToGrid w:val="0"/>
          <w:sz w:val="24"/>
          <w:highlight w:val="none"/>
        </w:rPr>
        <w:t>准：</w:t>
      </w:r>
    </w:p>
    <w:p>
      <w:pPr>
        <w:adjustRightInd w:val="0"/>
        <w:snapToGrid w:val="0"/>
        <w:spacing w:line="460" w:lineRule="exact"/>
        <w:ind w:firstLine="480" w:firstLineChars="200"/>
        <w:rPr>
          <w:rFonts w:hint="eastAsia" w:ascii="宋体" w:hAnsi="宋体"/>
          <w:snapToGrid w:val="0"/>
          <w:sz w:val="24"/>
          <w:highlight w:val="none"/>
          <w:lang w:val="en-US" w:eastAsia="zh-CN"/>
        </w:rPr>
      </w:pPr>
      <w:r>
        <w:rPr>
          <w:rFonts w:hint="eastAsia" w:ascii="宋体" w:hAnsi="宋体"/>
          <w:snapToGrid w:val="0"/>
          <w:sz w:val="24"/>
          <w:highlight w:val="none"/>
          <w:lang w:val="en-US" w:eastAsia="zh-CN"/>
        </w:rPr>
        <w:t>2.5.1</w:t>
      </w:r>
      <w:r>
        <w:rPr>
          <w:rFonts w:hint="eastAsia" w:ascii="宋体" w:hAnsi="宋体"/>
          <w:snapToGrid w:val="0"/>
          <w:sz w:val="24"/>
          <w:highlight w:val="none"/>
        </w:rPr>
        <w:t>符合现行国家、行业以及地方强制性和推荐性规范、标准要求，满足现场环境使用需求</w:t>
      </w:r>
      <w:r>
        <w:rPr>
          <w:rFonts w:hint="eastAsia" w:ascii="宋体" w:hAnsi="宋体"/>
          <w:snapToGrid w:val="0"/>
          <w:sz w:val="24"/>
          <w:highlight w:val="none"/>
          <w:lang w:eastAsia="zh-CN"/>
        </w:rPr>
        <w:t>，</w:t>
      </w:r>
      <w:r>
        <w:rPr>
          <w:rFonts w:hint="eastAsia" w:ascii="宋体" w:hAnsi="宋体"/>
          <w:snapToGrid w:val="0"/>
          <w:sz w:val="24"/>
          <w:highlight w:val="none"/>
          <w:lang w:val="en-US" w:eastAsia="zh-CN"/>
        </w:rPr>
        <w:t>符合制造商企业标准.</w:t>
      </w:r>
    </w:p>
    <w:p>
      <w:pPr>
        <w:adjustRightInd w:val="0"/>
        <w:snapToGrid w:val="0"/>
        <w:spacing w:line="460" w:lineRule="exact"/>
        <w:ind w:firstLine="480" w:firstLineChars="200"/>
        <w:rPr>
          <w:rFonts w:hint="eastAsia" w:ascii="宋体" w:hAnsi="宋体" w:eastAsia="宋体" w:cs="Times New Roman"/>
          <w:snapToGrid w:val="0"/>
          <w:sz w:val="24"/>
          <w:highlight w:val="none"/>
        </w:rPr>
      </w:pPr>
      <w:r>
        <w:rPr>
          <w:rFonts w:hint="eastAsia" w:ascii="宋体" w:hAnsi="宋体"/>
          <w:snapToGrid w:val="0"/>
          <w:sz w:val="24"/>
          <w:highlight w:val="none"/>
          <w:lang w:val="en-US" w:eastAsia="zh-CN"/>
        </w:rPr>
        <w:t>2.5.2采用全新PP料生产</w:t>
      </w:r>
      <w:r>
        <w:rPr>
          <w:rFonts w:hint="eastAsia" w:ascii="宋体" w:hAnsi="宋体" w:eastAsia="宋体" w:cs="Times New Roman"/>
          <w:snapToGrid w:val="0"/>
          <w:sz w:val="24"/>
          <w:szCs w:val="24"/>
          <w:highlight w:val="none"/>
          <w:lang w:val="en-US" w:eastAsia="zh-CN"/>
        </w:rPr>
        <w:t>，内置</w:t>
      </w:r>
      <w:r>
        <w:rPr>
          <w:rFonts w:hint="eastAsia" w:ascii="宋体" w:hAnsi="宋体" w:eastAsia="宋体" w:cs="Times New Roman"/>
          <w:snapToGrid w:val="0"/>
          <w:sz w:val="24"/>
          <w:szCs w:val="24"/>
          <w:highlight w:val="none"/>
        </w:rPr>
        <w:t>热浸镀锌</w:t>
      </w:r>
      <w:r>
        <w:rPr>
          <w:rFonts w:hint="eastAsia" w:ascii="宋体" w:hAnsi="宋体" w:eastAsia="宋体" w:cs="Times New Roman"/>
          <w:snapToGrid w:val="0"/>
          <w:sz w:val="24"/>
          <w:szCs w:val="24"/>
          <w:highlight w:val="none"/>
          <w:lang w:val="en-US" w:eastAsia="zh-CN"/>
        </w:rPr>
        <w:t>钢管，</w:t>
      </w:r>
      <w:r>
        <w:rPr>
          <w:rFonts w:hint="eastAsia" w:ascii="宋体" w:hAnsi="宋体" w:eastAsia="宋体" w:cs="Times New Roman"/>
          <w:snapToGrid w:val="0"/>
          <w:sz w:val="24"/>
          <w:szCs w:val="24"/>
          <w:highlight w:val="none"/>
        </w:rPr>
        <w:t>具体规格</w:t>
      </w:r>
      <w:r>
        <w:rPr>
          <w:rFonts w:hint="eastAsia" w:ascii="宋体" w:hAnsi="宋体"/>
          <w:snapToGrid w:val="0"/>
          <w:sz w:val="24"/>
          <w:szCs w:val="24"/>
          <w:highlight w:val="none"/>
        </w:rPr>
        <w:t>详见招标文件第五章“技术标</w:t>
      </w:r>
      <w:r>
        <w:rPr>
          <w:rFonts w:hint="eastAsia" w:ascii="宋体" w:hAnsi="宋体" w:eastAsia="宋体" w:cs="Times New Roman"/>
          <w:snapToGrid w:val="0"/>
          <w:sz w:val="24"/>
          <w:highlight w:val="none"/>
        </w:rPr>
        <w:t>准和要求”。</w:t>
      </w:r>
    </w:p>
    <w:p>
      <w:pPr>
        <w:spacing w:line="460" w:lineRule="exact"/>
        <w:ind w:firstLine="480" w:firstLineChars="200"/>
        <w:rPr>
          <w:rFonts w:hint="default" w:ascii="宋体" w:hAnsi="宋体" w:eastAsia="宋体" w:cs="Times New Roman"/>
          <w:snapToGrid w:val="0"/>
          <w:sz w:val="24"/>
          <w:highlight w:val="none"/>
          <w:lang w:val="en-US" w:eastAsia="zh-CN"/>
        </w:rPr>
      </w:pPr>
      <w:r>
        <w:rPr>
          <w:rFonts w:hint="eastAsia" w:ascii="宋体" w:hAnsi="宋体" w:eastAsia="宋体" w:cs="Times New Roman"/>
          <w:snapToGrid w:val="0"/>
          <w:sz w:val="24"/>
          <w:highlight w:val="none"/>
          <w:lang w:val="en-US" w:eastAsia="zh-CN"/>
        </w:rPr>
        <w:t>2.5.3</w:t>
      </w:r>
      <w:r>
        <w:rPr>
          <w:rFonts w:hint="eastAsia" w:ascii="宋体" w:hAnsi="宋体" w:cs="宋体"/>
          <w:sz w:val="24"/>
          <w:lang w:val="en-US" w:eastAsia="zh-CN"/>
        </w:rPr>
        <w:t>质保期：不低于3年</w:t>
      </w:r>
      <w:r>
        <w:rPr>
          <w:rFonts w:hint="eastAsia" w:ascii="宋体" w:hAnsi="宋体" w:cs="宋体"/>
          <w:sz w:val="24"/>
        </w:rPr>
        <w:t>（自验收合格之日起计算）。</w:t>
      </w:r>
    </w:p>
    <w:p>
      <w:pPr>
        <w:adjustRightInd w:val="0"/>
        <w:snapToGrid w:val="0"/>
        <w:spacing w:line="460" w:lineRule="exact"/>
        <w:ind w:firstLine="480" w:firstLineChars="200"/>
        <w:rPr>
          <w:rFonts w:hint="default" w:ascii="宋体" w:hAnsi="宋体"/>
          <w:snapToGrid w:val="0"/>
          <w:sz w:val="24"/>
          <w:highlight w:val="none"/>
          <w:lang w:val="en-US" w:eastAsia="zh-CN"/>
        </w:rPr>
      </w:pPr>
      <w:r>
        <w:rPr>
          <w:rFonts w:hint="eastAsia" w:ascii="宋体" w:hAnsi="宋体" w:eastAsia="宋体" w:cs="Times New Roman"/>
          <w:snapToGrid w:val="0"/>
          <w:sz w:val="24"/>
          <w:highlight w:val="none"/>
        </w:rPr>
        <w:t>2.</w:t>
      </w:r>
      <w:r>
        <w:rPr>
          <w:rFonts w:hint="eastAsia" w:ascii="宋体" w:hAnsi="宋体" w:eastAsia="宋体" w:cs="Times New Roman"/>
          <w:snapToGrid w:val="0"/>
          <w:sz w:val="24"/>
          <w:highlight w:val="none"/>
          <w:lang w:val="en-US" w:eastAsia="zh-CN"/>
        </w:rPr>
        <w:t>6</w:t>
      </w:r>
      <w:r>
        <w:rPr>
          <w:rFonts w:hint="eastAsia" w:ascii="宋体" w:hAnsi="宋体" w:eastAsia="宋体" w:cs="Times New Roman"/>
          <w:snapToGrid w:val="0"/>
          <w:sz w:val="24"/>
          <w:highlight w:val="none"/>
        </w:rPr>
        <w:t>供货周期：</w:t>
      </w:r>
      <w:r>
        <w:rPr>
          <w:rFonts w:hint="eastAsia" w:ascii="宋体" w:hAnsi="宋体"/>
          <w:snapToGrid w:val="0"/>
          <w:sz w:val="24"/>
          <w:highlight w:val="none"/>
          <w:lang w:val="en-US" w:eastAsia="zh-CN"/>
        </w:rPr>
        <w:t>根据包装中心项目安装及调试进度供货，首批托盘供时间计划为2024年5月10日前发货，至2024年7月20日供完，具体供货时间以招标方通知为准。</w:t>
      </w:r>
    </w:p>
    <w:bookmarkEnd w:id="13"/>
    <w:bookmarkEnd w:id="14"/>
    <w:bookmarkEnd w:id="15"/>
    <w:p>
      <w:pPr>
        <w:adjustRightInd w:val="0"/>
        <w:snapToGrid w:val="0"/>
        <w:spacing w:line="440" w:lineRule="exact"/>
        <w:ind w:firstLine="482" w:firstLineChars="200"/>
        <w:rPr>
          <w:rFonts w:ascii="宋体" w:hAnsi="宋体" w:cs="宋体"/>
          <w:b/>
          <w:bCs/>
          <w:color w:val="auto"/>
          <w:sz w:val="24"/>
        </w:rPr>
      </w:pPr>
      <w:r>
        <w:rPr>
          <w:rFonts w:hint="eastAsia" w:ascii="宋体" w:hAnsi="宋体" w:cs="宋体"/>
          <w:b/>
          <w:bCs/>
          <w:color w:val="auto"/>
          <w:sz w:val="24"/>
        </w:rPr>
        <w:t>三、投标人及授权代表应当具备的主要资格条件</w:t>
      </w:r>
    </w:p>
    <w:p>
      <w:pPr>
        <w:tabs>
          <w:tab w:val="right" w:leader="dot" w:pos="9471"/>
        </w:tabs>
        <w:spacing w:line="460" w:lineRule="exact"/>
        <w:ind w:firstLine="480" w:firstLineChars="200"/>
        <w:jc w:val="left"/>
        <w:rPr>
          <w:rFonts w:hint="eastAsia" w:ascii="宋体" w:hAnsi="宋体" w:cs="宋体"/>
          <w:sz w:val="24"/>
        </w:rPr>
      </w:pPr>
      <w:r>
        <w:rPr>
          <w:rFonts w:hint="eastAsia" w:ascii="宋体" w:hAnsi="宋体" w:cs="宋体"/>
          <w:color w:val="auto"/>
          <w:sz w:val="24"/>
        </w:rPr>
        <w:t>3.1投标人资质条件：</w:t>
      </w:r>
      <w:r>
        <w:rPr>
          <w:rFonts w:hint="eastAsia" w:ascii="宋体" w:hAnsi="宋体" w:cs="宋体"/>
          <w:sz w:val="24"/>
        </w:rPr>
        <w:t>投标人须是</w:t>
      </w:r>
      <w:r>
        <w:rPr>
          <w:rFonts w:hint="eastAsia" w:ascii="宋体" w:hAnsi="宋体"/>
          <w:snapToGrid w:val="0"/>
          <w:sz w:val="24"/>
          <w:szCs w:val="24"/>
        </w:rPr>
        <w:t>塑料托盘制造商</w:t>
      </w:r>
      <w:r>
        <w:rPr>
          <w:rFonts w:hint="eastAsia" w:ascii="宋体" w:hAnsi="宋体" w:cs="宋体"/>
          <w:sz w:val="24"/>
        </w:rPr>
        <w:t>。</w:t>
      </w:r>
    </w:p>
    <w:p>
      <w:pPr>
        <w:adjustRightInd w:val="0"/>
        <w:snapToGrid w:val="0"/>
        <w:spacing w:line="440" w:lineRule="exact"/>
        <w:ind w:firstLine="480" w:firstLineChars="200"/>
        <w:rPr>
          <w:rFonts w:hint="eastAsia"/>
        </w:rPr>
      </w:pPr>
      <w:r>
        <w:rPr>
          <w:rFonts w:hint="eastAsia" w:ascii="宋体" w:hAnsi="宋体" w:cs="宋体"/>
          <w:sz w:val="24"/>
        </w:rPr>
        <w:t>3</w:t>
      </w:r>
      <w:r>
        <w:rPr>
          <w:rFonts w:ascii="宋体" w:hAnsi="宋体" w:cs="宋体"/>
          <w:sz w:val="24"/>
        </w:rPr>
        <w:t>.2</w:t>
      </w:r>
      <w:r>
        <w:rPr>
          <w:rFonts w:hint="eastAsia" w:ascii="宋体" w:hAnsi="宋体" w:cs="宋体"/>
          <w:sz w:val="24"/>
        </w:rPr>
        <w:t>本项目委托代理人必须为投标人本单位职工。投标人须在投标文件资格审查部分提供投标人本单位为该委托代理人缴纳的养老保险证明复印件。</w:t>
      </w:r>
    </w:p>
    <w:p>
      <w:pPr>
        <w:adjustRightInd w:val="0"/>
        <w:snapToGrid w:val="0"/>
        <w:spacing w:line="440" w:lineRule="exact"/>
        <w:ind w:firstLine="482" w:firstLineChars="200"/>
        <w:rPr>
          <w:rFonts w:hint="eastAsia" w:ascii="宋体" w:hAnsi="宋体" w:cs="宋体"/>
          <w:b/>
          <w:bCs/>
          <w:sz w:val="24"/>
        </w:rPr>
      </w:pPr>
      <w:r>
        <w:rPr>
          <w:rFonts w:hint="eastAsia" w:ascii="宋体" w:hAnsi="宋体" w:cs="宋体"/>
          <w:b/>
          <w:bCs/>
          <w:sz w:val="24"/>
        </w:rPr>
        <w:t>四</w:t>
      </w:r>
      <w:r>
        <w:rPr>
          <w:rFonts w:ascii="宋体" w:hAnsi="宋体" w:cs="宋体"/>
          <w:b/>
          <w:bCs/>
          <w:sz w:val="24"/>
        </w:rPr>
        <w:t>、以下条件属于资格审查必要合格条件</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4.1投标人应具有独立的法人资格，持有在中国合法注册的《营业执照》，具有独立订立合同和履行合同的能力。</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4</w:t>
      </w:r>
      <w:r>
        <w:rPr>
          <w:rFonts w:ascii="宋体" w:hAnsi="宋体" w:cs="宋体"/>
          <w:sz w:val="24"/>
        </w:rPr>
        <w:t>.2</w:t>
      </w:r>
      <w:r>
        <w:rPr>
          <w:rFonts w:hint="eastAsia" w:ascii="宋体" w:hAnsi="宋体" w:cs="宋体"/>
          <w:sz w:val="24"/>
        </w:rPr>
        <w:t>投标人未处于被责令停业、投标资格被取消或者财产被接管、冻结和破产状态。</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4</w:t>
      </w:r>
      <w:r>
        <w:rPr>
          <w:rFonts w:ascii="宋体" w:hAnsi="宋体" w:cs="宋体"/>
          <w:sz w:val="24"/>
        </w:rPr>
        <w:t>.3</w:t>
      </w:r>
      <w:r>
        <w:rPr>
          <w:rFonts w:hint="eastAsia" w:ascii="宋体" w:hAnsi="宋体" w:cs="宋体"/>
          <w:sz w:val="24"/>
        </w:rPr>
        <w:t>投标人企业信誉良好，在信用中国（http://www.creditchina.gov.cn）平台上无失信记录，没有因骗取中标或者严重违约以及发生重大工程质量、安全生产事故等问题，被有关部门暂停投标资格并在暂停期内的不良记录。</w:t>
      </w:r>
    </w:p>
    <w:p>
      <w:pPr>
        <w:adjustRightInd w:val="0"/>
        <w:snapToGrid w:val="0"/>
        <w:spacing w:line="440" w:lineRule="exact"/>
        <w:ind w:firstLine="480" w:firstLineChars="200"/>
        <w:rPr>
          <w:rFonts w:hint="eastAsia" w:ascii="宋体" w:hAnsi="宋体" w:cs="宋体"/>
          <w:sz w:val="24"/>
        </w:rPr>
      </w:pPr>
      <w:r>
        <w:rPr>
          <w:rFonts w:hint="eastAsia" w:ascii="宋体" w:hAnsi="宋体" w:cs="宋体"/>
          <w:sz w:val="24"/>
        </w:rPr>
        <w:t>4</w:t>
      </w:r>
      <w:r>
        <w:rPr>
          <w:rFonts w:ascii="宋体" w:hAnsi="宋体" w:cs="宋体"/>
          <w:sz w:val="24"/>
        </w:rPr>
        <w:t>.4</w:t>
      </w:r>
      <w:r>
        <w:rPr>
          <w:rFonts w:hint="eastAsia" w:ascii="宋体" w:hAnsi="宋体" w:cs="宋体"/>
          <w:sz w:val="24"/>
        </w:rPr>
        <w:t>投标人资格证明文件中的重要内容没有失实或者弄虚作假。</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4</w:t>
      </w:r>
      <w:r>
        <w:rPr>
          <w:rFonts w:ascii="宋体" w:hAnsi="宋体" w:cs="宋体"/>
          <w:sz w:val="24"/>
        </w:rPr>
        <w:t>.5</w:t>
      </w:r>
      <w:r>
        <w:rPr>
          <w:rFonts w:hint="eastAsia" w:ascii="宋体" w:hAnsi="宋体" w:cs="宋体"/>
          <w:sz w:val="24"/>
        </w:rPr>
        <w:t>本项目不接受挂靠、转包、分包、联合体单位参与投标；单位负责人为同一个的两个及两个以上的母公司、全资子公司及其控股公司或存在管理关系的，只能有一家参加本项目投标。</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4</w:t>
      </w:r>
      <w:r>
        <w:rPr>
          <w:rFonts w:ascii="宋体" w:hAnsi="宋体" w:cs="宋体"/>
          <w:sz w:val="24"/>
        </w:rPr>
        <w:t>.6</w:t>
      </w:r>
      <w:r>
        <w:rPr>
          <w:rFonts w:hint="eastAsia" w:ascii="宋体" w:hAnsi="宋体" w:cs="宋体"/>
          <w:sz w:val="24"/>
        </w:rPr>
        <w:t>投标人须符合《资格预审必要合格条件标准》（见附件一）。</w:t>
      </w:r>
    </w:p>
    <w:p>
      <w:pPr>
        <w:adjustRightInd w:val="0"/>
        <w:snapToGrid w:val="0"/>
        <w:spacing w:line="440" w:lineRule="exact"/>
        <w:ind w:firstLine="482" w:firstLineChars="200"/>
        <w:rPr>
          <w:rFonts w:ascii="宋体" w:hAnsi="宋体" w:cs="宋体"/>
          <w:b/>
          <w:bCs/>
          <w:sz w:val="24"/>
        </w:rPr>
      </w:pPr>
      <w:r>
        <w:rPr>
          <w:rFonts w:hint="eastAsia" w:ascii="宋体" w:hAnsi="宋体" w:cs="宋体"/>
          <w:b/>
          <w:bCs/>
          <w:sz w:val="24"/>
        </w:rPr>
        <w:t>五、确定潜在投标人的方法</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本项目资格预审采用合格制。投标人递交的资格预审文件（包括必要时的约谈或考察）经审查均合格的，入围正式投标</w:t>
      </w:r>
      <w:r>
        <w:rPr>
          <w:rFonts w:hint="eastAsia" w:ascii="宋体" w:hAnsi="宋体" w:cs="宋体"/>
          <w:b/>
          <w:bCs/>
          <w:sz w:val="24"/>
        </w:rPr>
        <w:t>。</w:t>
      </w:r>
    </w:p>
    <w:p>
      <w:pPr>
        <w:adjustRightInd w:val="0"/>
        <w:snapToGrid w:val="0"/>
        <w:spacing w:line="440" w:lineRule="exact"/>
        <w:ind w:firstLine="482" w:firstLineChars="200"/>
        <w:rPr>
          <w:rFonts w:ascii="宋体" w:hAnsi="宋体" w:cs="宋体"/>
          <w:b/>
          <w:bCs/>
          <w:sz w:val="24"/>
        </w:rPr>
      </w:pPr>
      <w:r>
        <w:rPr>
          <w:rFonts w:hint="eastAsia" w:ascii="宋体" w:hAnsi="宋体" w:cs="宋体"/>
          <w:b/>
          <w:bCs/>
          <w:sz w:val="24"/>
        </w:rPr>
        <w:t>六、资格预审文件的递交</w:t>
      </w:r>
    </w:p>
    <w:p>
      <w:pPr>
        <w:spacing w:line="400" w:lineRule="exact"/>
        <w:ind w:firstLine="480" w:firstLineChars="200"/>
        <w:rPr>
          <w:rFonts w:hint="eastAsia" w:ascii="宋体" w:hAnsi="宋体" w:eastAsia="宋体" w:cs="宋体"/>
          <w:color w:val="auto"/>
          <w:sz w:val="24"/>
        </w:rPr>
      </w:pPr>
      <w:r>
        <w:rPr>
          <w:rFonts w:hint="eastAsia" w:ascii="宋体" w:hAnsi="宋体" w:cs="宋体"/>
          <w:sz w:val="24"/>
        </w:rPr>
        <w:t>6</w:t>
      </w:r>
      <w:r>
        <w:rPr>
          <w:rFonts w:ascii="宋体" w:hAnsi="宋体" w:cs="宋体"/>
          <w:sz w:val="24"/>
        </w:rPr>
        <w:t>.1</w:t>
      </w:r>
      <w:r>
        <w:rPr>
          <w:rFonts w:hint="eastAsia" w:ascii="宋体" w:hAnsi="宋体" w:eastAsia="宋体" w:cs="宋体"/>
          <w:color w:val="auto"/>
          <w:sz w:val="24"/>
        </w:rPr>
        <w:t>有意向且符合上述条件的投标人，请登陆舍得酒业招采数字化平台(网址：https://ssrm.shede.com.cn），点击页面顶部“一链网”参与项目报名, 并按照“附件二投标预审资料提交模板”的要求提供资格预审盖章扫描文件及可编辑word版本。</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6</w:t>
      </w:r>
      <w:r>
        <w:rPr>
          <w:rFonts w:ascii="宋体" w:hAnsi="宋体" w:cs="宋体"/>
          <w:sz w:val="24"/>
        </w:rPr>
        <w:t>.2</w:t>
      </w:r>
      <w:r>
        <w:rPr>
          <w:rFonts w:hint="eastAsia" w:ascii="宋体" w:hAnsi="宋体" w:cs="宋体"/>
          <w:sz w:val="24"/>
        </w:rPr>
        <w:t>未按照上述要求进行报名的均视为报名无效。通过资格预审并接受邀请的投标人方可参加投标。</w:t>
      </w:r>
    </w:p>
    <w:p>
      <w:pPr>
        <w:adjustRightInd w:val="0"/>
        <w:snapToGrid w:val="0"/>
        <w:spacing w:line="440" w:lineRule="exact"/>
        <w:ind w:firstLine="482" w:firstLineChars="200"/>
        <w:rPr>
          <w:b/>
          <w:sz w:val="24"/>
        </w:rPr>
      </w:pPr>
      <w:r>
        <w:rPr>
          <w:rFonts w:hint="eastAsia"/>
          <w:b/>
          <w:sz w:val="24"/>
        </w:rPr>
        <w:t>七、投标保证金：</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7.1 投标保证金缴纳：¥</w:t>
      </w:r>
      <w:r>
        <w:rPr>
          <w:rFonts w:hint="eastAsia" w:ascii="宋体" w:hAnsi="宋体" w:cs="宋体"/>
          <w:sz w:val="24"/>
          <w:lang w:val="en-US" w:eastAsia="zh-CN"/>
        </w:rPr>
        <w:t>10</w:t>
      </w:r>
      <w:r>
        <w:rPr>
          <w:rFonts w:hint="eastAsia" w:ascii="宋体" w:hAnsi="宋体" w:cs="宋体"/>
          <w:sz w:val="24"/>
        </w:rPr>
        <w:t>万元；投标人在收到招标文件且确认参标后，在规定时间内缴纳投标保证金。投标保证金缴纳截止时间以招标文件为准，以转账方式缴纳投标保证金，投标人转账时请在转账凭证用途栏上注明本项目招标编</w:t>
      </w:r>
      <w:r>
        <w:rPr>
          <w:rFonts w:hint="eastAsia" w:ascii="宋体" w:hAnsi="宋体" w:cs="宋体"/>
          <w:sz w:val="24"/>
          <w:highlight w:val="yellow"/>
        </w:rPr>
        <w:t>号</w:t>
      </w:r>
      <w:r>
        <w:rPr>
          <w:rFonts w:hint="eastAsia" w:ascii="宋体" w:hAnsi="宋体" w:cs="宋体"/>
          <w:color w:val="FF0000"/>
          <w:sz w:val="24"/>
          <w:highlight w:val="yellow"/>
        </w:rPr>
        <w:t>ZC2-</w:t>
      </w:r>
      <w:r>
        <w:rPr>
          <w:rFonts w:hint="eastAsia" w:ascii="宋体" w:hAnsi="宋体" w:cs="宋体"/>
          <w:color w:val="FF0000"/>
          <w:sz w:val="24"/>
          <w:highlight w:val="yellow"/>
          <w:lang w:val="en-US" w:eastAsia="zh-CN"/>
        </w:rPr>
        <w:t>001</w:t>
      </w:r>
      <w:r>
        <w:rPr>
          <w:rFonts w:hint="eastAsia" w:ascii="宋体" w:hAnsi="宋体" w:cs="宋体"/>
          <w:sz w:val="24"/>
          <w:highlight w:val="yellow"/>
        </w:rPr>
        <w:t>号</w:t>
      </w:r>
      <w:r>
        <w:rPr>
          <w:rFonts w:hint="eastAsia" w:ascii="宋体" w:hAnsi="宋体" w:cs="宋体"/>
          <w:sz w:val="24"/>
        </w:rPr>
        <w:t>。</w:t>
      </w:r>
      <w:r>
        <w:rPr>
          <w:rFonts w:hint="eastAsia" w:ascii="宋体" w:hAnsi="宋体" w:eastAsia="宋体" w:cs="宋体"/>
          <w:color w:val="auto"/>
          <w:sz w:val="24"/>
        </w:rPr>
        <w:t>投标保证金缴纳后登陆舍得酒业招采数字化平台（网址：https://ssrm.shede.com.cn）点击页面顶部“一链网”，在截至时间前上传转账凭证。</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投标保证金缴纳账户信息如下：</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开户单位：舍得酒业股份有限公司</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开户银行：中国工商银行射洪支行</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银行帐号：2310 4641 0902 2509 624。</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7.2 保证金退还：</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若中标，则投标保证金自动转为合同履约保证金（不足部分由中标方补齐），工程按期完工并验收合格后，招标人30日内返还履约保证金（不计利息）。未中标的投标保证金在确定中标人单位后30日内返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bookmarkStart w:id="16" w:name="_Hlk114040219"/>
    </w:p>
    <w:bookmarkEnd w:id="16"/>
    <w:p>
      <w:pPr>
        <w:adjustRightInd w:val="0"/>
        <w:snapToGrid w:val="0"/>
        <w:spacing w:line="440" w:lineRule="exact"/>
        <w:ind w:firstLine="482" w:firstLineChars="200"/>
        <w:rPr>
          <w:b/>
          <w:sz w:val="24"/>
        </w:rPr>
      </w:pPr>
      <w:r>
        <w:rPr>
          <w:rFonts w:hint="eastAsia"/>
          <w:b/>
          <w:sz w:val="24"/>
        </w:rPr>
        <w:t xml:space="preserve">八、投标报名联系人及时间安排： </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8.1投标联系人：</w:t>
      </w:r>
    </w:p>
    <w:p>
      <w:pPr>
        <w:adjustRightInd w:val="0"/>
        <w:snapToGrid w:val="0"/>
        <w:spacing w:line="440" w:lineRule="exact"/>
        <w:ind w:firstLine="480" w:firstLineChars="200"/>
        <w:rPr>
          <w:rFonts w:hint="eastAsia" w:ascii="宋体" w:hAnsi="宋体" w:cs="宋体"/>
          <w:sz w:val="24"/>
        </w:rPr>
      </w:pPr>
      <w:r>
        <w:rPr>
          <w:rFonts w:hint="eastAsia" w:ascii="宋体" w:hAnsi="宋体" w:cs="宋体"/>
          <w:sz w:val="24"/>
        </w:rPr>
        <w:t>招标联系人：</w:t>
      </w:r>
      <w:r>
        <w:rPr>
          <w:rFonts w:hint="eastAsia" w:ascii="宋体" w:hAnsi="宋体" w:cs="宋体"/>
          <w:sz w:val="24"/>
          <w:lang w:val="en-US" w:eastAsia="zh-CN"/>
        </w:rPr>
        <w:t>吴</w:t>
      </w:r>
      <w:r>
        <w:rPr>
          <w:rFonts w:hint="eastAsia" w:ascii="宋体" w:hAnsi="宋体" w:cs="宋体"/>
          <w:sz w:val="24"/>
        </w:rPr>
        <w:t xml:space="preserve">先生 </w:t>
      </w:r>
      <w:r>
        <w:rPr>
          <w:rFonts w:hint="eastAsia" w:ascii="宋体" w:hAnsi="宋体" w:cs="宋体"/>
          <w:sz w:val="24"/>
          <w:lang w:val="en-US" w:eastAsia="zh-CN"/>
        </w:rPr>
        <w:t>18081288357</w:t>
      </w:r>
      <w:r>
        <w:rPr>
          <w:rFonts w:hint="eastAsia" w:ascii="宋体" w:hAnsi="宋体" w:cs="宋体"/>
          <w:sz w:val="24"/>
        </w:rPr>
        <w:t xml:space="preserve">  邮箱: </w:t>
      </w:r>
      <w:r>
        <w:rPr>
          <w:rFonts w:hint="eastAsia" w:ascii="宋体" w:hAnsi="宋体" w:eastAsia="宋体" w:cs="宋体"/>
          <w:sz w:val="24"/>
          <w:lang w:val="en-US" w:eastAsia="zh-CN"/>
        </w:rPr>
        <w:t>whongxin@tuopai.biz</w:t>
      </w:r>
      <w:r>
        <w:rPr>
          <w:rFonts w:hint="eastAsia" w:ascii="宋体" w:hAnsi="宋体" w:cs="宋体"/>
          <w:sz w:val="24"/>
        </w:rPr>
        <w:t xml:space="preserve">  </w:t>
      </w:r>
    </w:p>
    <w:p>
      <w:pPr>
        <w:adjustRightInd w:val="0"/>
        <w:snapToGrid w:val="0"/>
        <w:spacing w:line="440" w:lineRule="exact"/>
        <w:ind w:firstLine="480" w:firstLineChars="200"/>
        <w:rPr>
          <w:rFonts w:hint="eastAsia" w:ascii="宋体" w:hAnsi="宋体" w:cs="宋体"/>
          <w:sz w:val="24"/>
        </w:rPr>
      </w:pPr>
      <w:r>
        <w:rPr>
          <w:rFonts w:hint="eastAsia" w:ascii="宋体" w:hAnsi="宋体" w:cs="宋体"/>
          <w:sz w:val="24"/>
        </w:rPr>
        <w:t>地    址：四川省射</w:t>
      </w:r>
      <w:bookmarkStart w:id="17" w:name="_GoBack"/>
      <w:bookmarkEnd w:id="17"/>
      <w:r>
        <w:rPr>
          <w:rFonts w:hint="eastAsia" w:ascii="宋体" w:hAnsi="宋体" w:cs="宋体"/>
          <w:sz w:val="24"/>
        </w:rPr>
        <w:t>洪市沱牌镇沱牌大道999号   邮    编：629209</w:t>
      </w:r>
    </w:p>
    <w:p>
      <w:pPr>
        <w:tabs>
          <w:tab w:val="right" w:leader="dot" w:pos="9471"/>
        </w:tabs>
        <w:spacing w:line="460" w:lineRule="exact"/>
        <w:ind w:firstLine="482" w:firstLineChars="200"/>
        <w:jc w:val="left"/>
        <w:rPr>
          <w:rFonts w:hint="eastAsia" w:ascii="宋体" w:hAnsi="宋体" w:cs="宋体"/>
          <w:b/>
          <w:bCs/>
          <w:color w:val="FF0000"/>
          <w:sz w:val="24"/>
        </w:rPr>
      </w:pPr>
      <w:r>
        <w:rPr>
          <w:rFonts w:hint="eastAsia" w:ascii="宋体" w:hAnsi="宋体" w:cs="宋体"/>
          <w:b/>
          <w:bCs/>
          <w:color w:val="FF0000"/>
          <w:sz w:val="24"/>
        </w:rPr>
        <w:t>凡</w:t>
      </w:r>
      <w:r>
        <w:rPr>
          <w:rFonts w:ascii="宋体" w:hAnsi="宋体" w:cs="宋体"/>
          <w:b/>
          <w:bCs/>
          <w:color w:val="FF0000"/>
          <w:sz w:val="24"/>
        </w:rPr>
        <w:t>涉及</w:t>
      </w:r>
      <w:r>
        <w:rPr>
          <w:rFonts w:hint="eastAsia" w:ascii="宋体" w:hAnsi="宋体" w:cs="宋体"/>
          <w:b/>
          <w:bCs/>
          <w:color w:val="FF0000"/>
          <w:sz w:val="24"/>
        </w:rPr>
        <w:t>商务、</w:t>
      </w:r>
      <w:r>
        <w:rPr>
          <w:rFonts w:ascii="宋体" w:hAnsi="宋体" w:cs="宋体"/>
          <w:b/>
          <w:bCs/>
          <w:color w:val="FF0000"/>
          <w:sz w:val="24"/>
        </w:rPr>
        <w:t>技术咨询的，请投标人以邮件方式书面提出，招标联系人</w:t>
      </w:r>
      <w:r>
        <w:rPr>
          <w:rFonts w:hint="eastAsia" w:ascii="宋体" w:hAnsi="宋体" w:cs="宋体"/>
          <w:b/>
          <w:bCs/>
          <w:color w:val="FF0000"/>
          <w:sz w:val="24"/>
        </w:rPr>
        <w:t>在2个日历天内以邮件方式</w:t>
      </w:r>
      <w:r>
        <w:rPr>
          <w:rFonts w:ascii="宋体" w:hAnsi="宋体" w:cs="宋体"/>
          <w:b/>
          <w:bCs/>
          <w:color w:val="FF0000"/>
          <w:sz w:val="24"/>
        </w:rPr>
        <w:t>回复</w:t>
      </w:r>
      <w:r>
        <w:rPr>
          <w:rFonts w:hint="eastAsia" w:ascii="宋体" w:hAnsi="宋体" w:cs="宋体"/>
          <w:b/>
          <w:bCs/>
          <w:color w:val="FF0000"/>
          <w:sz w:val="24"/>
        </w:rPr>
        <w:t>。</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8.2招标文件的获取方式</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招标人以电子邮件方式发放至委托代理人邮箱，招标文件不收取费用。</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8.3时间安排：</w:t>
      </w:r>
    </w:p>
    <w:p>
      <w:pPr>
        <w:adjustRightInd w:val="0"/>
        <w:snapToGrid w:val="0"/>
        <w:spacing w:line="440" w:lineRule="exact"/>
        <w:ind w:firstLine="480" w:firstLineChars="200"/>
        <w:rPr>
          <w:rFonts w:ascii="宋体" w:hAnsi="宋体" w:cs="宋体"/>
          <w:sz w:val="24"/>
          <w:highlight w:val="none"/>
        </w:rPr>
      </w:pPr>
      <w:r>
        <w:rPr>
          <w:rFonts w:hint="eastAsia" w:ascii="宋体" w:hAnsi="宋体" w:cs="宋体"/>
          <w:sz w:val="24"/>
          <w:highlight w:val="none"/>
        </w:rPr>
        <w:t>投标预审资料递交截止时间：202</w:t>
      </w:r>
      <w:r>
        <w:rPr>
          <w:rFonts w:hint="eastAsia" w:ascii="宋体" w:hAnsi="宋体" w:cs="宋体"/>
          <w:sz w:val="24"/>
          <w:highlight w:val="none"/>
          <w:lang w:val="en-US" w:eastAsia="zh-CN"/>
        </w:rPr>
        <w:t>4</w:t>
      </w:r>
      <w:r>
        <w:rPr>
          <w:rFonts w:hint="eastAsia" w:ascii="宋体" w:hAnsi="宋体" w:cs="宋体"/>
          <w:sz w:val="24"/>
          <w:highlight w:val="none"/>
        </w:rPr>
        <w:t>年</w:t>
      </w:r>
      <w:r>
        <w:rPr>
          <w:rFonts w:hint="eastAsia" w:ascii="宋体" w:hAnsi="宋体" w:cs="宋体"/>
          <w:sz w:val="24"/>
          <w:highlight w:val="none"/>
          <w:lang w:val="en-US" w:eastAsia="zh-CN"/>
        </w:rPr>
        <w:t>3</w:t>
      </w:r>
      <w:r>
        <w:rPr>
          <w:rFonts w:hint="eastAsia" w:ascii="宋体" w:hAnsi="宋体" w:cs="宋体"/>
          <w:sz w:val="24"/>
          <w:highlight w:val="none"/>
        </w:rPr>
        <w:t>月</w:t>
      </w:r>
      <w:r>
        <w:rPr>
          <w:rFonts w:hint="eastAsia" w:ascii="宋体" w:hAnsi="宋体" w:cs="宋体"/>
          <w:sz w:val="24"/>
          <w:highlight w:val="none"/>
          <w:lang w:val="en-US" w:eastAsia="zh-CN"/>
        </w:rPr>
        <w:t>1</w:t>
      </w:r>
      <w:r>
        <w:rPr>
          <w:rFonts w:hint="eastAsia" w:ascii="宋体" w:hAnsi="宋体" w:cs="宋体"/>
          <w:sz w:val="24"/>
          <w:highlight w:val="none"/>
        </w:rPr>
        <w:t>日9:00</w:t>
      </w:r>
    </w:p>
    <w:p>
      <w:pPr>
        <w:adjustRightInd w:val="0"/>
        <w:snapToGrid w:val="0"/>
        <w:spacing w:line="440" w:lineRule="exact"/>
        <w:ind w:firstLine="480" w:firstLineChars="200"/>
        <w:rPr>
          <w:rFonts w:hint="eastAsia" w:ascii="宋体" w:hAnsi="宋体" w:cs="宋体"/>
          <w:sz w:val="24"/>
          <w:highlight w:val="none"/>
        </w:rPr>
      </w:pPr>
      <w:r>
        <w:rPr>
          <w:rFonts w:hint="eastAsia" w:ascii="宋体" w:hAnsi="宋体" w:cs="宋体"/>
          <w:sz w:val="24"/>
          <w:highlight w:val="none"/>
        </w:rPr>
        <w:t>本项目发标时间：202</w:t>
      </w:r>
      <w:r>
        <w:rPr>
          <w:rFonts w:hint="eastAsia" w:ascii="宋体" w:hAnsi="宋体" w:cs="宋体"/>
          <w:sz w:val="24"/>
          <w:highlight w:val="none"/>
          <w:lang w:val="en-US" w:eastAsia="zh-CN"/>
        </w:rPr>
        <w:t>4</w:t>
      </w:r>
      <w:r>
        <w:rPr>
          <w:rFonts w:hint="eastAsia" w:ascii="宋体" w:hAnsi="宋体" w:cs="宋体"/>
          <w:sz w:val="24"/>
          <w:highlight w:val="none"/>
        </w:rPr>
        <w:t>年</w:t>
      </w:r>
      <w:r>
        <w:rPr>
          <w:rFonts w:hint="eastAsia" w:ascii="宋体" w:hAnsi="宋体" w:cs="宋体"/>
          <w:sz w:val="24"/>
          <w:highlight w:val="none"/>
          <w:lang w:val="en-US" w:eastAsia="zh-CN"/>
        </w:rPr>
        <w:t>03</w:t>
      </w:r>
      <w:r>
        <w:rPr>
          <w:rFonts w:hint="eastAsia" w:ascii="宋体" w:hAnsi="宋体" w:cs="宋体"/>
          <w:sz w:val="24"/>
          <w:highlight w:val="none"/>
        </w:rPr>
        <w:t>月</w:t>
      </w:r>
      <w:r>
        <w:rPr>
          <w:rFonts w:hint="eastAsia" w:ascii="宋体" w:hAnsi="宋体" w:cs="宋体"/>
          <w:sz w:val="24"/>
          <w:highlight w:val="none"/>
          <w:lang w:val="en-US" w:eastAsia="zh-CN"/>
        </w:rPr>
        <w:t>04</w:t>
      </w:r>
      <w:r>
        <w:rPr>
          <w:rFonts w:hint="eastAsia" w:ascii="宋体" w:hAnsi="宋体" w:cs="宋体"/>
          <w:sz w:val="24"/>
          <w:highlight w:val="none"/>
        </w:rPr>
        <w:t>日18:00（暂定）</w:t>
      </w:r>
    </w:p>
    <w:p>
      <w:pPr>
        <w:adjustRightInd w:val="0"/>
        <w:snapToGrid w:val="0"/>
        <w:spacing w:line="440" w:lineRule="exact"/>
        <w:ind w:firstLine="480" w:firstLineChars="200"/>
        <w:rPr>
          <w:rFonts w:hint="eastAsia" w:ascii="宋体" w:hAnsi="宋体" w:cs="宋体"/>
          <w:sz w:val="24"/>
          <w:highlight w:val="none"/>
        </w:rPr>
      </w:pPr>
      <w:r>
        <w:rPr>
          <w:rFonts w:hint="eastAsia" w:ascii="宋体" w:hAnsi="宋体" w:cs="宋体"/>
          <w:sz w:val="24"/>
          <w:highlight w:val="none"/>
        </w:rPr>
        <w:t>本项目回标时间：以招标文件为准</w:t>
      </w:r>
    </w:p>
    <w:p>
      <w:pPr>
        <w:adjustRightInd w:val="0"/>
        <w:snapToGrid w:val="0"/>
        <w:spacing w:line="440" w:lineRule="exact"/>
        <w:ind w:firstLine="480" w:firstLineChars="200"/>
        <w:rPr>
          <w:rFonts w:hint="eastAsia" w:ascii="宋体" w:hAnsi="宋体" w:cs="宋体"/>
          <w:sz w:val="24"/>
          <w:highlight w:val="none"/>
        </w:rPr>
      </w:pPr>
      <w:r>
        <w:rPr>
          <w:rFonts w:hint="eastAsia" w:ascii="宋体" w:hAnsi="宋体" w:cs="宋体"/>
          <w:sz w:val="24"/>
          <w:highlight w:val="none"/>
        </w:rPr>
        <w:t>本项目开标时间：以招标文件为准</w:t>
      </w:r>
    </w:p>
    <w:p>
      <w:pPr>
        <w:adjustRightInd w:val="0"/>
        <w:snapToGrid w:val="0"/>
        <w:spacing w:line="440" w:lineRule="exact"/>
        <w:ind w:firstLine="480" w:firstLineChars="200"/>
        <w:rPr>
          <w:rFonts w:ascii="宋体" w:hAnsi="宋体" w:cs="宋体"/>
          <w:sz w:val="24"/>
          <w:highlight w:val="none"/>
        </w:rPr>
      </w:pPr>
      <w:r>
        <w:rPr>
          <w:rFonts w:hint="eastAsia" w:ascii="宋体" w:hAnsi="宋体" w:cs="宋体"/>
          <w:sz w:val="24"/>
          <w:highlight w:val="none"/>
        </w:rPr>
        <w:t>以上时间会根据项目的进度有所变动，以实际为准。</w:t>
      </w:r>
    </w:p>
    <w:p>
      <w:pPr>
        <w:adjustRightInd w:val="0"/>
        <w:snapToGrid w:val="0"/>
        <w:spacing w:line="440" w:lineRule="exact"/>
        <w:ind w:firstLine="482" w:firstLineChars="200"/>
        <w:rPr>
          <w:rFonts w:hint="eastAsia"/>
          <w:b/>
          <w:sz w:val="24"/>
          <w:highlight w:val="none"/>
        </w:rPr>
      </w:pPr>
      <w:r>
        <w:rPr>
          <w:rFonts w:hint="eastAsia"/>
          <w:b/>
          <w:sz w:val="24"/>
          <w:highlight w:val="none"/>
        </w:rPr>
        <w:t>九、发布公告的媒介：</w:t>
      </w:r>
    </w:p>
    <w:p>
      <w:pPr>
        <w:tabs>
          <w:tab w:val="right" w:leader="dot" w:pos="9471"/>
        </w:tabs>
        <w:spacing w:line="460" w:lineRule="exact"/>
        <w:ind w:firstLine="480" w:firstLineChars="200"/>
        <w:jc w:val="left"/>
        <w:rPr>
          <w:rFonts w:hint="eastAsia" w:ascii="宋体" w:hAnsi="宋体" w:cs="宋体"/>
          <w:sz w:val="24"/>
          <w:highlight w:val="none"/>
        </w:rPr>
      </w:pPr>
      <w:r>
        <w:rPr>
          <w:rFonts w:hint="eastAsia" w:ascii="宋体" w:hAnsi="宋体" w:cs="宋体"/>
          <w:sz w:val="24"/>
          <w:highlight w:val="none"/>
        </w:rPr>
        <w:t>本招标公告于202</w:t>
      </w:r>
      <w:r>
        <w:rPr>
          <w:rFonts w:hint="eastAsia" w:ascii="宋体" w:hAnsi="宋体" w:cs="宋体"/>
          <w:sz w:val="24"/>
          <w:highlight w:val="none"/>
          <w:lang w:val="en-US" w:eastAsia="zh-CN"/>
        </w:rPr>
        <w:t>4</w:t>
      </w:r>
      <w:r>
        <w:rPr>
          <w:rFonts w:hint="eastAsia" w:ascii="宋体" w:hAnsi="宋体" w:cs="宋体"/>
          <w:sz w:val="24"/>
          <w:highlight w:val="none"/>
        </w:rPr>
        <w:t>年</w:t>
      </w:r>
      <w:r>
        <w:rPr>
          <w:rFonts w:hint="eastAsia" w:ascii="宋体" w:hAnsi="宋体" w:cs="宋体"/>
          <w:sz w:val="24"/>
          <w:highlight w:val="none"/>
          <w:lang w:val="en-US" w:eastAsia="zh-CN"/>
        </w:rPr>
        <w:t>2</w:t>
      </w:r>
      <w:r>
        <w:rPr>
          <w:rFonts w:hint="eastAsia" w:ascii="宋体" w:hAnsi="宋体" w:cs="宋体"/>
          <w:sz w:val="24"/>
          <w:highlight w:val="none"/>
        </w:rPr>
        <w:t>月</w:t>
      </w:r>
      <w:r>
        <w:rPr>
          <w:rFonts w:hint="eastAsia" w:ascii="宋体" w:hAnsi="宋体" w:cs="宋体"/>
          <w:sz w:val="24"/>
          <w:highlight w:val="none"/>
          <w:lang w:val="en-US" w:eastAsia="zh-CN"/>
        </w:rPr>
        <w:t>20</w:t>
      </w:r>
      <w:r>
        <w:rPr>
          <w:rFonts w:hint="eastAsia" w:ascii="宋体" w:hAnsi="宋体" w:cs="宋体"/>
          <w:sz w:val="24"/>
          <w:highlight w:val="none"/>
        </w:rPr>
        <w:t>日在如下网站发布：</w:t>
      </w:r>
    </w:p>
    <w:p>
      <w:pPr>
        <w:tabs>
          <w:tab w:val="right" w:leader="dot" w:pos="9471"/>
        </w:tabs>
        <w:spacing w:line="460" w:lineRule="exact"/>
        <w:ind w:firstLine="480" w:firstLineChars="200"/>
        <w:jc w:val="left"/>
        <w:rPr>
          <w:rFonts w:hint="eastAsia" w:ascii="宋体" w:hAnsi="宋体" w:cs="宋体"/>
          <w:sz w:val="24"/>
        </w:rPr>
      </w:pPr>
      <w:r>
        <w:rPr>
          <w:rFonts w:hint="eastAsia" w:ascii="宋体" w:hAnsi="宋体" w:cs="宋体"/>
          <w:sz w:val="24"/>
        </w:rPr>
        <w:t>舍得酒业股份</w:t>
      </w:r>
      <w:r>
        <w:rPr>
          <w:rFonts w:hint="eastAsia" w:ascii="宋体" w:hAnsi="宋体" w:cs="宋体"/>
          <w:sz w:val="24"/>
          <w:lang w:val="zh-CN"/>
        </w:rPr>
        <w:t>有限公司官网</w:t>
      </w:r>
      <w:r>
        <w:rPr>
          <w:rFonts w:hint="eastAsia" w:ascii="宋体" w:hAnsi="宋体" w:cs="宋体"/>
          <w:sz w:val="24"/>
        </w:rPr>
        <w:t>（http://www.tuopaishede.cn）</w:t>
      </w:r>
    </w:p>
    <w:p>
      <w:pPr>
        <w:tabs>
          <w:tab w:val="right" w:leader="dot" w:pos="9471"/>
        </w:tabs>
        <w:spacing w:line="460" w:lineRule="exact"/>
        <w:ind w:firstLine="480" w:firstLineChars="200"/>
        <w:jc w:val="left"/>
        <w:rPr>
          <w:rFonts w:hint="eastAsia" w:ascii="宋体" w:hAnsi="宋体" w:cs="宋体"/>
          <w:sz w:val="24"/>
        </w:rPr>
      </w:pPr>
      <w:r>
        <w:rPr>
          <w:rFonts w:hint="eastAsia" w:ascii="宋体" w:hAnsi="宋体" w:cs="宋体"/>
          <w:sz w:val="24"/>
          <w:lang w:val="zh-CN"/>
        </w:rPr>
        <w:t>中国招标采购导航网</w:t>
      </w:r>
      <w:r>
        <w:rPr>
          <w:rFonts w:hint="eastAsia" w:ascii="宋体" w:hAnsi="宋体" w:cs="宋体"/>
          <w:sz w:val="24"/>
        </w:rPr>
        <w:t>（http://www.okcis.cn）</w:t>
      </w:r>
    </w:p>
    <w:p>
      <w:pPr>
        <w:tabs>
          <w:tab w:val="right" w:leader="dot" w:pos="9471"/>
        </w:tabs>
        <w:spacing w:line="460" w:lineRule="exact"/>
        <w:ind w:firstLine="480" w:firstLineChars="200"/>
        <w:jc w:val="left"/>
        <w:rPr>
          <w:rFonts w:hint="eastAsia" w:ascii="宋体" w:hAnsi="宋体" w:cs="宋体"/>
          <w:sz w:val="24"/>
        </w:rPr>
      </w:pPr>
      <w:r>
        <w:rPr>
          <w:rFonts w:hint="eastAsia" w:ascii="宋体" w:hAnsi="宋体" w:cs="宋体"/>
          <w:sz w:val="24"/>
          <w:lang w:val="zh-CN"/>
        </w:rPr>
        <w:t>中国采购与招标网</w:t>
      </w:r>
      <w:r>
        <w:rPr>
          <w:rFonts w:hint="eastAsia" w:ascii="宋体" w:hAnsi="宋体" w:cs="宋体"/>
          <w:sz w:val="24"/>
        </w:rPr>
        <w:t>（http://www.chinabidding.com.cn）</w:t>
      </w:r>
    </w:p>
    <w:p>
      <w:pPr>
        <w:tabs>
          <w:tab w:val="right" w:leader="dot" w:pos="9471"/>
        </w:tabs>
        <w:spacing w:line="460" w:lineRule="exact"/>
        <w:ind w:firstLine="480" w:firstLineChars="200"/>
        <w:jc w:val="left"/>
        <w:rPr>
          <w:rFonts w:hint="eastAsia"/>
          <w:lang w:val="zh-CN"/>
        </w:rPr>
      </w:pPr>
      <w:r>
        <w:rPr>
          <w:rFonts w:hint="eastAsia" w:ascii="宋体" w:hAnsi="宋体" w:cs="宋体"/>
          <w:sz w:val="24"/>
          <w:lang w:val="zh-CN"/>
        </w:rPr>
        <w:t>本公告有效期至本项目开标当日18:00截止。</w:t>
      </w:r>
    </w:p>
    <w:p>
      <w:pPr>
        <w:adjustRightInd w:val="0"/>
        <w:snapToGrid w:val="0"/>
        <w:spacing w:line="440" w:lineRule="exact"/>
        <w:ind w:firstLine="482" w:firstLineChars="200"/>
        <w:rPr>
          <w:b/>
          <w:sz w:val="24"/>
        </w:rPr>
      </w:pPr>
      <w:r>
        <w:rPr>
          <w:rFonts w:hint="eastAsia"/>
          <w:b/>
          <w:sz w:val="24"/>
        </w:rPr>
        <w:t>十、附件</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附件一：资格预审必要合格条件标准</w:t>
      </w:r>
    </w:p>
    <w:p>
      <w:pPr>
        <w:adjustRightInd w:val="0"/>
        <w:snapToGrid w:val="0"/>
        <w:spacing w:line="440" w:lineRule="exact"/>
        <w:ind w:firstLine="480" w:firstLineChars="200"/>
        <w:rPr>
          <w:rFonts w:hint="eastAsia"/>
        </w:rPr>
      </w:pPr>
      <w:r>
        <w:rPr>
          <w:rFonts w:hint="eastAsia" w:ascii="宋体" w:hAnsi="宋体" w:cs="宋体"/>
          <w:sz w:val="24"/>
        </w:rPr>
        <w:t>附件二：投标预审资料提交模板（点击下载）</w:t>
      </w:r>
    </w:p>
    <w:p>
      <w:pPr>
        <w:adjustRightInd w:val="0"/>
        <w:snapToGrid w:val="0"/>
        <w:spacing w:line="440" w:lineRule="exact"/>
        <w:ind w:firstLine="4800" w:firstLineChars="2000"/>
        <w:rPr>
          <w:rFonts w:ascii="宋体" w:hAnsi="宋体" w:cs="宋体"/>
          <w:sz w:val="24"/>
        </w:rPr>
      </w:pPr>
      <w:r>
        <w:rPr>
          <w:rFonts w:hint="eastAsia" w:ascii="宋体" w:hAnsi="宋体" w:cs="宋体"/>
          <w:sz w:val="24"/>
        </w:rPr>
        <w:t>招标人：舍得酒业股份有限公司</w:t>
      </w:r>
    </w:p>
    <w:p>
      <w:pPr>
        <w:adjustRightInd w:val="0"/>
        <w:snapToGrid w:val="0"/>
        <w:spacing w:line="440" w:lineRule="exact"/>
        <w:ind w:firstLine="5520" w:firstLineChars="2300"/>
        <w:rPr>
          <w:rFonts w:ascii="宋体" w:hAnsi="宋体" w:cs="宋体"/>
          <w:sz w:val="24"/>
        </w:rPr>
      </w:pPr>
      <w:r>
        <w:rPr>
          <w:rFonts w:hint="eastAsia" w:ascii="宋体" w:hAnsi="宋体" w:cs="宋体"/>
          <w:sz w:val="24"/>
        </w:rPr>
        <w:t>202</w:t>
      </w:r>
      <w:r>
        <w:rPr>
          <w:rFonts w:hint="eastAsia" w:ascii="宋体" w:hAnsi="宋体" w:cs="宋体"/>
          <w:sz w:val="24"/>
          <w:lang w:val="en-US" w:eastAsia="zh-CN"/>
        </w:rPr>
        <w:t>4</w:t>
      </w:r>
      <w:r>
        <w:rPr>
          <w:rFonts w:hint="eastAsia" w:ascii="宋体" w:hAnsi="宋体" w:cs="宋体"/>
          <w:sz w:val="24"/>
        </w:rPr>
        <w:t>年</w:t>
      </w:r>
      <w:r>
        <w:rPr>
          <w:rFonts w:hint="eastAsia" w:ascii="宋体" w:hAnsi="宋体" w:cs="宋体"/>
          <w:sz w:val="24"/>
          <w:lang w:val="en-US" w:eastAsia="zh-CN"/>
        </w:rPr>
        <w:t>2</w:t>
      </w:r>
      <w:r>
        <w:rPr>
          <w:rFonts w:hint="eastAsia" w:ascii="宋体" w:hAnsi="宋体" w:cs="宋体"/>
          <w:sz w:val="24"/>
        </w:rPr>
        <w:t>月</w:t>
      </w:r>
      <w:r>
        <w:rPr>
          <w:rFonts w:hint="eastAsia" w:ascii="宋体" w:hAnsi="宋体" w:cs="宋体"/>
          <w:sz w:val="24"/>
          <w:lang w:val="en-US" w:eastAsia="zh-CN"/>
        </w:rPr>
        <w:t>20</w:t>
      </w:r>
      <w:r>
        <w:rPr>
          <w:rFonts w:hint="eastAsia" w:ascii="宋体" w:hAnsi="宋体" w:cs="宋体"/>
          <w:sz w:val="24"/>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UzZGQyYTA5YzcxMGY2MTYzY2RmYzZlODkzNWE2NDAifQ=="/>
  </w:docVars>
  <w:rsids>
    <w:rsidRoot w:val="00000000"/>
    <w:rsid w:val="02CE17E8"/>
    <w:rsid w:val="03146112"/>
    <w:rsid w:val="06135E8F"/>
    <w:rsid w:val="0BE744B4"/>
    <w:rsid w:val="0D3E2EF8"/>
    <w:rsid w:val="2D23435A"/>
    <w:rsid w:val="3EF9316D"/>
    <w:rsid w:val="47307948"/>
    <w:rsid w:val="54E81862"/>
    <w:rsid w:val="5A2C03B3"/>
    <w:rsid w:val="6AA419BA"/>
    <w:rsid w:val="708464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widowControl/>
      <w:tabs>
        <w:tab w:val="left" w:pos="432"/>
      </w:tabs>
      <w:ind w:left="432" w:hanging="432"/>
      <w:jc w:val="center"/>
      <w:outlineLvl w:val="0"/>
    </w:pPr>
    <w:rPr>
      <w:rFonts w:ascii="黑体" w:hAnsi="Calibri" w:eastAsia="黑体"/>
      <w:kern w:val="0"/>
      <w:sz w:val="52"/>
      <w:szCs w:val="20"/>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3">
    <w:name w:val="Plain Text"/>
    <w:basedOn w:val="1"/>
    <w:autoRedefine/>
    <w:qFormat/>
    <w:uiPriority w:val="99"/>
    <w:rPr>
      <w:rFonts w:ascii="宋体" w:hAnsi="Courier New"/>
      <w:kern w:val="0"/>
      <w:sz w:val="20"/>
      <w:szCs w:val="20"/>
    </w:rPr>
  </w:style>
  <w:style w:type="paragraph" w:styleId="4">
    <w:name w:val="footer"/>
    <w:basedOn w:val="1"/>
    <w:unhideWhenUsed/>
    <w:qFormat/>
    <w:uiPriority w:val="99"/>
    <w:pPr>
      <w:tabs>
        <w:tab w:val="center" w:pos="4153"/>
        <w:tab w:val="right" w:pos="8306"/>
      </w:tabs>
      <w:snapToGrid w:val="0"/>
      <w:jc w:val="left"/>
    </w:pPr>
    <w:rPr>
      <w:kern w:val="0"/>
      <w:sz w:val="18"/>
      <w:szCs w:val="18"/>
    </w:rPr>
  </w:style>
  <w:style w:type="paragraph" w:styleId="5">
    <w:name w:val="header"/>
    <w:basedOn w:val="1"/>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6">
    <w:name w:val="toc 1"/>
    <w:basedOn w:val="1"/>
    <w:next w:val="1"/>
    <w:qFormat/>
    <w:uiPriority w:val="39"/>
    <w:pPr>
      <w:widowControl/>
      <w:spacing w:before="120" w:after="120" w:line="360" w:lineRule="auto"/>
      <w:jc w:val="left"/>
    </w:pPr>
    <w:rPr>
      <w:rFonts w:ascii="Calibri" w:hAnsi="Calibri"/>
      <w:b/>
      <w:caps/>
      <w:kern w:val="0"/>
      <w:szCs w:val="20"/>
    </w:rPr>
  </w:style>
  <w:style w:type="character" w:styleId="9">
    <w:name w:val="page number"/>
    <w:autoRedefine/>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2024-02-18T07:58:00Z</dcterms:created>
  <dc:creator>Administrator</dc:creator>
  <cp:lastModifiedBy>Administrator</cp:lastModifiedBy>
  <dcterms:modified xsi:type="dcterms:W3CDTF">2024-02-20T00:39:29Z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F9D7BA9F34B24ABEB4E9E26B5E820032_12</vt:lpwstr>
  </property>
</Properties>
</file>