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仿宋" w:hAnsi="仿宋" w:eastAsia="仿宋"/>
          <w:b/>
          <w:sz w:val="28"/>
          <w:szCs w:val="28"/>
          <w:highlight w:val="none"/>
        </w:rPr>
      </w:pPr>
      <w:r>
        <w:rPr>
          <w:rFonts w:hint="eastAsia" w:ascii="仿宋" w:hAnsi="仿宋" w:eastAsia="仿宋"/>
          <w:b/>
          <w:sz w:val="28"/>
          <w:szCs w:val="28"/>
          <w:highlight w:val="none"/>
        </w:rPr>
        <w:t>四川沱牌舍得营销有限公司</w:t>
      </w:r>
    </w:p>
    <w:p>
      <w:pPr>
        <w:adjustRightInd w:val="0"/>
        <w:snapToGrid w:val="0"/>
        <w:spacing w:line="360" w:lineRule="auto"/>
        <w:jc w:val="center"/>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2024重点城市第一批次户外类广告投放项目（区域一）</w:t>
      </w:r>
    </w:p>
    <w:p>
      <w:pPr>
        <w:adjustRightInd w:val="0"/>
        <w:snapToGrid w:val="0"/>
        <w:spacing w:line="360" w:lineRule="auto"/>
        <w:jc w:val="center"/>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舍司招(2024)-ZC3-14-1</w:t>
      </w:r>
    </w:p>
    <w:p>
      <w:pPr>
        <w:spacing w:line="360" w:lineRule="auto"/>
        <w:rPr>
          <w:rFonts w:ascii="仿宋" w:hAnsi="仿宋" w:eastAsia="仿宋"/>
          <w:b/>
          <w:bCs/>
          <w:sz w:val="28"/>
          <w:szCs w:val="28"/>
        </w:rPr>
      </w:pPr>
      <w:r>
        <w:rPr>
          <w:rFonts w:hint="eastAsia" w:ascii="仿宋" w:hAnsi="仿宋" w:eastAsia="仿宋"/>
          <w:b/>
          <w:bCs/>
          <w:sz w:val="28"/>
          <w:szCs w:val="28"/>
        </w:rPr>
        <w:t>致各潜在投标人：</w:t>
      </w:r>
    </w:p>
    <w:p>
      <w:pPr>
        <w:widowControl/>
        <w:spacing w:after="156" w:afterLines="50" w:line="360" w:lineRule="auto"/>
        <w:ind w:firstLine="560" w:firstLineChars="200"/>
        <w:jc w:val="left"/>
        <w:rPr>
          <w:rFonts w:ascii="仿宋" w:hAnsi="仿宋" w:eastAsia="仿宋"/>
          <w:sz w:val="28"/>
          <w:szCs w:val="28"/>
        </w:rPr>
      </w:pPr>
      <w:r>
        <w:rPr>
          <w:rFonts w:hint="eastAsia" w:ascii="仿宋" w:hAnsi="仿宋" w:eastAsia="仿宋"/>
          <w:sz w:val="28"/>
          <w:szCs w:val="28"/>
        </w:rPr>
        <w:t>为配合舍得酒业业务的需要，本公司需对</w:t>
      </w:r>
      <w:r>
        <w:rPr>
          <w:rFonts w:hint="eastAsia" w:ascii="仿宋" w:hAnsi="仿宋" w:eastAsia="仿宋"/>
          <w:b/>
          <w:bCs/>
          <w:sz w:val="28"/>
          <w:szCs w:val="28"/>
          <w:u w:val="single"/>
        </w:rPr>
        <w:t>2024重点城市第一批次户外类广告投放项目（区域一）</w:t>
      </w:r>
      <w:r>
        <w:rPr>
          <w:rFonts w:hint="eastAsia" w:ascii="仿宋" w:hAnsi="仿宋" w:eastAsia="仿宋"/>
          <w:sz w:val="28"/>
          <w:szCs w:val="28"/>
        </w:rPr>
        <w:t>进行公开招标。</w:t>
      </w:r>
    </w:p>
    <w:p>
      <w:pPr>
        <w:adjustRightInd w:val="0"/>
        <w:snapToGrid w:val="0"/>
        <w:spacing w:line="360" w:lineRule="auto"/>
        <w:rPr>
          <w:rFonts w:ascii="仿宋" w:hAnsi="仿宋" w:eastAsia="仿宋"/>
          <w:b/>
          <w:sz w:val="28"/>
          <w:szCs w:val="28"/>
          <w:highlight w:val="none"/>
        </w:rPr>
      </w:pPr>
      <w:bookmarkStart w:id="0" w:name="_Hlk155268792"/>
      <w:r>
        <w:rPr>
          <w:rFonts w:hint="eastAsia" w:ascii="仿宋" w:hAnsi="仿宋" w:eastAsia="仿宋"/>
          <w:b/>
          <w:sz w:val="28"/>
          <w:szCs w:val="28"/>
          <w:highlight w:val="none"/>
        </w:rPr>
        <w:t>一、项目概况</w:t>
      </w:r>
    </w:p>
    <w:p>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2024重点城市第一批次户外类广告投放项目（区域一）</w:t>
      </w:r>
    </w:p>
    <w:p>
      <w:pPr>
        <w:spacing w:line="360" w:lineRule="auto"/>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1.2需求覆盖地区：四川、重庆、湖南、陕西、宁夏</w:t>
      </w:r>
    </w:p>
    <w:p>
      <w:pPr>
        <w:spacing w:line="360" w:lineRule="auto"/>
        <w:rPr>
          <w:rFonts w:hint="default" w:ascii="仿宋" w:hAnsi="仿宋" w:eastAsia="仿宋" w:cs="Times New Roman"/>
          <w:b w:val="0"/>
          <w:bCs w:val="0"/>
          <w:kern w:val="2"/>
          <w:sz w:val="28"/>
          <w:szCs w:val="28"/>
          <w:highlight w:val="none"/>
          <w:lang w:val="en-US" w:eastAsia="zh-CN" w:bidi="ar-SA"/>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3需求资源类型</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资源类型为大牌、LED、门禁、道闸、高铁站、地下车库灯箱（仅四川</w:t>
      </w:r>
      <w:bookmarkStart w:id="5" w:name="_GoBack"/>
      <w:bookmarkEnd w:id="5"/>
      <w:r>
        <w:rPr>
          <w:rFonts w:hint="eastAsia" w:ascii="仿宋" w:hAnsi="仿宋" w:eastAsia="仿宋"/>
          <w:sz w:val="28"/>
          <w:szCs w:val="28"/>
          <w:highlight w:val="none"/>
          <w:lang w:val="en-US" w:eastAsia="zh-CN"/>
        </w:rPr>
        <w:t>）</w:t>
      </w:r>
    </w:p>
    <w:p>
      <w:pPr>
        <w:spacing w:line="360" w:lineRule="auto"/>
        <w:ind w:left="210" w:leftChars="100"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本项目为指定点位招标，</w:t>
      </w:r>
      <w:r>
        <w:rPr>
          <w:rFonts w:hint="eastAsia" w:ascii="仿宋" w:hAnsi="仿宋" w:eastAsia="仿宋"/>
          <w:sz w:val="28"/>
          <w:szCs w:val="28"/>
          <w:highlight w:val="none"/>
        </w:rPr>
        <w:t>无需投标人提报点位</w:t>
      </w:r>
      <w:r>
        <w:rPr>
          <w:rFonts w:hint="eastAsia" w:ascii="仿宋" w:hAnsi="仿宋" w:eastAsia="仿宋"/>
          <w:sz w:val="28"/>
          <w:szCs w:val="28"/>
          <w:highlight w:val="none"/>
          <w:lang w:val="en-US" w:eastAsia="zh-CN"/>
        </w:rPr>
        <w:t>建议</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具体点位信息将在</w:t>
      </w:r>
      <w:r>
        <w:rPr>
          <w:rFonts w:hint="eastAsia" w:ascii="仿宋" w:hAnsi="仿宋" w:eastAsia="仿宋"/>
          <w:sz w:val="28"/>
          <w:szCs w:val="28"/>
          <w:highlight w:val="none"/>
        </w:rPr>
        <w:t>投标人</w:t>
      </w:r>
      <w:r>
        <w:rPr>
          <w:rFonts w:hint="eastAsia" w:ascii="仿宋" w:hAnsi="仿宋" w:eastAsia="仿宋"/>
          <w:sz w:val="28"/>
          <w:szCs w:val="28"/>
          <w:highlight w:val="none"/>
          <w:lang w:val="en-US" w:eastAsia="zh-CN"/>
        </w:rPr>
        <w:t>报名预审</w:t>
      </w:r>
      <w:r>
        <w:rPr>
          <w:rFonts w:hint="eastAsia" w:ascii="仿宋" w:hAnsi="仿宋" w:eastAsia="仿宋"/>
          <w:sz w:val="28"/>
          <w:szCs w:val="28"/>
          <w:highlight w:val="none"/>
        </w:rPr>
        <w:t>通过后</w:t>
      </w:r>
      <w:r>
        <w:rPr>
          <w:rFonts w:hint="eastAsia" w:ascii="仿宋" w:hAnsi="仿宋" w:eastAsia="仿宋"/>
          <w:sz w:val="28"/>
          <w:szCs w:val="28"/>
          <w:highlight w:val="none"/>
          <w:lang w:val="en-US" w:eastAsia="zh-CN"/>
        </w:rPr>
        <w:t>以招标文件形式发放</w:t>
      </w:r>
      <w:r>
        <w:rPr>
          <w:rFonts w:hint="eastAsia" w:ascii="仿宋" w:hAnsi="仿宋" w:eastAsia="仿宋"/>
          <w:sz w:val="28"/>
          <w:szCs w:val="28"/>
          <w:highlight w:val="none"/>
        </w:rPr>
        <w:t>。</w:t>
      </w:r>
    </w:p>
    <w:p>
      <w:pPr>
        <w:spacing w:line="360" w:lineRule="auto"/>
        <w:ind w:left="210" w:leftChars="100" w:firstLine="560" w:firstLineChars="200"/>
        <w:rPr>
          <w:rFonts w:hint="eastAsia" w:ascii="仿宋" w:hAnsi="仿宋" w:eastAsia="仿宋"/>
          <w:sz w:val="28"/>
          <w:szCs w:val="28"/>
          <w:highlight w:val="none"/>
        </w:rPr>
      </w:pPr>
      <w:bookmarkStart w:id="1" w:name="OLE_LINK2"/>
      <w:bookmarkStart w:id="2" w:name="OLE_LINK1"/>
      <w:r>
        <w:rPr>
          <w:rFonts w:hint="eastAsia" w:ascii="仿宋" w:hAnsi="仿宋" w:eastAsia="仿宋"/>
          <w:sz w:val="28"/>
          <w:szCs w:val="28"/>
          <w:highlight w:val="none"/>
        </w:rPr>
        <w:t>正式投标时，所有点位均需提供资源所有方或独家经营方出具给投标人针对“舍得</w:t>
      </w:r>
      <w:r>
        <w:rPr>
          <w:rFonts w:hint="eastAsia" w:ascii="仿宋" w:hAnsi="仿宋" w:eastAsia="仿宋"/>
          <w:sz w:val="28"/>
          <w:szCs w:val="28"/>
          <w:highlight w:val="none"/>
          <w:lang w:val="en-US" w:eastAsia="zh-CN"/>
        </w:rPr>
        <w:t>酒业</w:t>
      </w:r>
      <w:r>
        <w:rPr>
          <w:rFonts w:hint="eastAsia" w:ascii="仿宋" w:hAnsi="仿宋" w:eastAsia="仿宋"/>
          <w:sz w:val="28"/>
          <w:szCs w:val="28"/>
          <w:highlight w:val="none"/>
        </w:rPr>
        <w:t>广告投放”的</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扫描件，原件备查；未提供</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的点位将视为无效价格不予接受。</w:t>
      </w:r>
      <w:bookmarkEnd w:id="1"/>
      <w:bookmarkEnd w:id="2"/>
    </w:p>
    <w:p>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项目实施时间为2024</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5月起（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验收方式：提供结案报告书面验收。</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pPr>
        <w:adjustRightInd w:val="0"/>
        <w:snapToGrid w:val="0"/>
        <w:spacing w:line="360" w:lineRule="auto"/>
        <w:rPr>
          <w:rFonts w:ascii="仿宋" w:hAnsi="仿宋" w:eastAsia="仿宋"/>
          <w:b/>
          <w:sz w:val="28"/>
          <w:szCs w:val="28"/>
          <w:highlight w:val="none"/>
        </w:rPr>
      </w:pPr>
      <w:r>
        <w:rPr>
          <w:rFonts w:hint="eastAsia" w:ascii="仿宋" w:hAnsi="仿宋" w:eastAsia="仿宋"/>
          <w:b/>
          <w:sz w:val="28"/>
          <w:szCs w:val="28"/>
          <w:highlight w:val="none"/>
        </w:rPr>
        <w:t>二、参与投标的潜在投标人需符合以下条件：</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pPr>
        <w:tabs>
          <w:tab w:val="left" w:pos="426"/>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w:t>
      </w:r>
      <w:r>
        <w:rPr>
          <w:rFonts w:hint="eastAsia" w:ascii="仿宋" w:hAnsi="仿宋" w:eastAsia="仿宋"/>
          <w:i w:val="0"/>
          <w:iCs w:val="0"/>
          <w:sz w:val="28"/>
          <w:szCs w:val="28"/>
          <w:highlight w:val="none"/>
        </w:rPr>
        <w:t>接受挂靠、分包、转包、联合体单位</w:t>
      </w:r>
      <w:r>
        <w:rPr>
          <w:rFonts w:hint="eastAsia" w:ascii="仿宋" w:hAnsi="仿宋" w:eastAsia="仿宋"/>
          <w:sz w:val="28"/>
          <w:szCs w:val="28"/>
          <w:highlight w:val="none"/>
        </w:rPr>
        <w:t>参与投标；单位负责人为同一人或者存在控股、管理关系的不同单位，不得参加同一标段投标或者未划分标段的同一招标项目投标；</w:t>
      </w:r>
    </w:p>
    <w:p>
      <w:pPr>
        <w:tabs>
          <w:tab w:val="left" w:pos="426"/>
        </w:tabs>
        <w:spacing w:line="360" w:lineRule="auto"/>
        <w:rPr>
          <w:rFonts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pPr>
        <w:pStyle w:val="8"/>
        <w:shd w:val="clear" w:color="auto" w:fill="FFFFFF"/>
        <w:spacing w:before="0" w:beforeAutospacing="0" w:after="0" w:afterAutospacing="0" w:line="480" w:lineRule="atLeast"/>
        <w:rPr>
          <w:rFonts w:ascii="微软雅黑" w:hAnsi="微软雅黑" w:eastAsia="微软雅黑"/>
          <w:sz w:val="22"/>
          <w:szCs w:val="22"/>
          <w:highlight w:val="none"/>
        </w:rPr>
      </w:pPr>
      <w:r>
        <w:rPr>
          <w:rFonts w:hint="eastAsia" w:ascii="仿宋" w:hAnsi="仿宋" w:eastAsia="仿宋"/>
          <w:b/>
          <w:bCs/>
          <w:sz w:val="28"/>
          <w:szCs w:val="28"/>
          <w:highlight w:val="none"/>
        </w:rPr>
        <w:t>三、投标保证金</w:t>
      </w:r>
    </w:p>
    <w:p>
      <w:pPr>
        <w:numPr>
          <w:ilvl w:val="255"/>
          <w:numId w:val="0"/>
        </w:numPr>
        <w:spacing w:line="360" w:lineRule="auto"/>
        <w:ind w:right="-197" w:rightChars="-94"/>
        <w:jc w:val="left"/>
        <w:rPr>
          <w:rFonts w:ascii="仿宋" w:hAnsi="仿宋" w:eastAsia="仿宋"/>
          <w:sz w:val="28"/>
          <w:szCs w:val="28"/>
          <w:highlight w:val="none"/>
        </w:rPr>
      </w:pPr>
      <w:bookmarkStart w:id="3" w:name="_Hlk114040189"/>
      <w:r>
        <w:rPr>
          <w:rFonts w:hint="eastAsia" w:ascii="仿宋" w:hAnsi="仿宋" w:eastAsia="仿宋"/>
          <w:sz w:val="28"/>
          <w:szCs w:val="28"/>
          <w:highlight w:val="none"/>
        </w:rPr>
        <w:t>3.1 投标保证金：</w:t>
      </w:r>
      <w:r>
        <w:rPr>
          <w:rFonts w:hint="eastAsia" w:ascii="仿宋" w:hAnsi="仿宋" w:eastAsia="仿宋"/>
          <w:sz w:val="28"/>
          <w:szCs w:val="28"/>
          <w:highlight w:val="none"/>
          <w:lang w:val="en-US" w:eastAsia="zh-CN"/>
        </w:rPr>
        <w:t>100,000元</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人民币拾万</w:t>
      </w:r>
      <w:r>
        <w:rPr>
          <w:rFonts w:hint="eastAsia" w:ascii="仿宋" w:hAnsi="仿宋" w:eastAsia="仿宋"/>
          <w:sz w:val="28"/>
          <w:szCs w:val="28"/>
          <w:highlight w:val="none"/>
        </w:rPr>
        <w:t>元整</w:t>
      </w:r>
      <w:r>
        <w:rPr>
          <w:rFonts w:hint="eastAsia" w:ascii="仿宋" w:hAnsi="仿宋" w:eastAsia="仿宋"/>
          <w:sz w:val="28"/>
          <w:szCs w:val="28"/>
          <w:highlight w:val="none"/>
          <w:lang w:eastAsia="zh-CN"/>
        </w:rPr>
        <w:t>）</w:t>
      </w:r>
      <w:r>
        <w:rPr>
          <w:rFonts w:hint="eastAsia" w:ascii="仿宋" w:hAnsi="仿宋" w:eastAsia="仿宋"/>
          <w:sz w:val="28"/>
          <w:szCs w:val="28"/>
          <w:highlight w:val="none"/>
        </w:rPr>
        <w:t>；投标人可在收到招标文件且确认参标后，根据业务实</w:t>
      </w:r>
      <w:r>
        <w:rPr>
          <w:rFonts w:hint="eastAsia" w:ascii="仿宋" w:hAnsi="仿宋" w:eastAsia="仿宋"/>
          <w:i w:val="0"/>
          <w:iCs w:val="0"/>
          <w:sz w:val="28"/>
          <w:szCs w:val="28"/>
          <w:highlight w:val="none"/>
        </w:rPr>
        <w:t>施可能选择一个或多个</w:t>
      </w:r>
      <w:r>
        <w:rPr>
          <w:rFonts w:hint="eastAsia" w:ascii="仿宋" w:hAnsi="仿宋" w:eastAsia="仿宋"/>
          <w:i w:val="0"/>
          <w:iCs w:val="0"/>
          <w:sz w:val="28"/>
          <w:szCs w:val="28"/>
          <w:highlight w:val="none"/>
          <w:lang w:val="en-US" w:eastAsia="zh-CN"/>
        </w:rPr>
        <w:t>资源点位</w:t>
      </w:r>
      <w:r>
        <w:rPr>
          <w:rFonts w:hint="eastAsia" w:ascii="仿宋" w:hAnsi="仿宋" w:eastAsia="仿宋"/>
          <w:i w:val="0"/>
          <w:iCs w:val="0"/>
          <w:sz w:val="28"/>
          <w:szCs w:val="28"/>
          <w:highlight w:val="none"/>
        </w:rPr>
        <w:t>进行</w:t>
      </w:r>
      <w:r>
        <w:rPr>
          <w:rFonts w:hint="eastAsia" w:ascii="仿宋" w:hAnsi="仿宋" w:eastAsia="仿宋"/>
          <w:sz w:val="28"/>
          <w:szCs w:val="28"/>
          <w:highlight w:val="none"/>
        </w:rPr>
        <w:t>投标并在规定时间内缴纳足额投标保证金。投标保证金缴纳及凭证上传</w:t>
      </w:r>
      <w:r>
        <w:rPr>
          <w:rFonts w:hint="eastAsia" w:ascii="仿宋" w:hAnsi="仿宋" w:eastAsia="仿宋"/>
          <w:sz w:val="28"/>
          <w:szCs w:val="28"/>
          <w:highlight w:val="none"/>
          <w:lang w:val="en-US" w:eastAsia="zh-CN"/>
        </w:rPr>
        <w:t>截止</w:t>
      </w:r>
      <w:r>
        <w:rPr>
          <w:rFonts w:hint="eastAsia" w:ascii="仿宋" w:hAnsi="仿宋" w:eastAsia="仿宋"/>
          <w:sz w:val="28"/>
          <w:szCs w:val="28"/>
          <w:highlight w:val="none"/>
        </w:rPr>
        <w:t>时间为</w:t>
      </w:r>
      <w:r>
        <w:rPr>
          <w:rFonts w:hint="eastAsia" w:ascii="仿宋" w:hAnsi="仿宋" w:eastAsia="仿宋"/>
          <w:b/>
          <w:bCs/>
          <w:color w:val="FF0000"/>
          <w:sz w:val="28"/>
          <w:szCs w:val="28"/>
          <w:highlight w:val="none"/>
          <w:lang w:val="en-US" w:eastAsia="zh-CN"/>
        </w:rPr>
        <w:t xml:space="preserve"> 2024年4月7日下午16:00前</w:t>
      </w:r>
      <w:r>
        <w:rPr>
          <w:rFonts w:hint="eastAsia" w:ascii="仿宋" w:hAnsi="仿宋" w:eastAsia="仿宋"/>
          <w:sz w:val="28"/>
          <w:szCs w:val="28"/>
          <w:highlight w:val="none"/>
        </w:rPr>
        <w:t>，投标人以网银转账或电汇方式缴纳至招标人指定账户，转账需备注“</w:t>
      </w:r>
      <w:r>
        <w:rPr>
          <w:rFonts w:hint="eastAsia" w:ascii="仿宋" w:hAnsi="仿宋" w:eastAsia="仿宋"/>
          <w:bCs/>
          <w:sz w:val="28"/>
          <w:szCs w:val="28"/>
          <w:highlight w:val="none"/>
          <w:lang w:eastAsia="zh-CN"/>
        </w:rPr>
        <w:t>2024</w:t>
      </w:r>
      <w:r>
        <w:rPr>
          <w:rFonts w:hint="eastAsia" w:ascii="仿宋" w:hAnsi="仿宋" w:eastAsia="仿宋"/>
          <w:bCs/>
          <w:sz w:val="28"/>
          <w:szCs w:val="28"/>
          <w:highlight w:val="none"/>
          <w:lang w:val="en-US" w:eastAsia="zh-CN"/>
        </w:rPr>
        <w:t>第一批户外区域一</w:t>
      </w:r>
      <w:r>
        <w:rPr>
          <w:rFonts w:hint="eastAsia" w:ascii="仿宋" w:hAnsi="仿宋" w:eastAsia="仿宋"/>
          <w:sz w:val="28"/>
          <w:szCs w:val="28"/>
          <w:highlight w:val="none"/>
        </w:rPr>
        <w:t>-投标保证金”，投标保证金缴纳后登陆舍得酒业招采数字化平台（网址：https://ssrm.shede.com.cn）点击页面顶部“一链网”，在</w:t>
      </w:r>
      <w:r>
        <w:rPr>
          <w:rFonts w:hint="eastAsia" w:ascii="仿宋" w:hAnsi="仿宋" w:eastAsia="仿宋"/>
          <w:sz w:val="28"/>
          <w:szCs w:val="28"/>
          <w:highlight w:val="none"/>
          <w:lang w:val="en-US" w:eastAsia="zh-CN"/>
        </w:rPr>
        <w:t>截止</w:t>
      </w:r>
      <w:r>
        <w:rPr>
          <w:rFonts w:hint="eastAsia" w:ascii="仿宋" w:hAnsi="仿宋" w:eastAsia="仿宋"/>
          <w:sz w:val="28"/>
          <w:szCs w:val="28"/>
          <w:highlight w:val="none"/>
        </w:rPr>
        <w:t>时间前上传转账凭证。</w:t>
      </w:r>
      <w:r>
        <w:rPr>
          <w:rFonts w:ascii="仿宋" w:hAnsi="仿宋" w:eastAsia="仿宋"/>
          <w:sz w:val="28"/>
          <w:szCs w:val="28"/>
          <w:highlight w:val="none"/>
        </w:rPr>
        <w:t xml:space="preserve"> </w:t>
      </w:r>
    </w:p>
    <w:p>
      <w:pPr>
        <w:numPr>
          <w:ilvl w:val="255"/>
          <w:numId w:val="0"/>
        </w:numPr>
        <w:spacing w:line="360" w:lineRule="auto"/>
        <w:rPr>
          <w:rFonts w:hint="eastAsia" w:ascii="仿宋" w:hAnsi="仿宋" w:eastAsia="仿宋"/>
          <w:sz w:val="28"/>
          <w:szCs w:val="28"/>
          <w:highlight w:val="none"/>
        </w:rPr>
      </w:pP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收款信息：</w:t>
      </w: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开户名称：四川沱牌舍得营销有限公司</w:t>
      </w: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开户银行：中国建设银行射洪支行</w:t>
      </w:r>
    </w:p>
    <w:p>
      <w:pPr>
        <w:numPr>
          <w:ilvl w:val="255"/>
          <w:numId w:val="0"/>
        </w:numPr>
        <w:spacing w:line="360" w:lineRule="auto"/>
        <w:rPr>
          <w:rFonts w:ascii="仿宋" w:hAnsi="仿宋" w:eastAsia="仿宋"/>
          <w:i/>
          <w:iCs/>
          <w:sz w:val="28"/>
          <w:szCs w:val="28"/>
          <w:highlight w:val="none"/>
        </w:rPr>
      </w:pPr>
      <w:r>
        <w:rPr>
          <w:rFonts w:hint="eastAsia" w:ascii="仿宋" w:hAnsi="仿宋" w:eastAsia="仿宋"/>
          <w:sz w:val="28"/>
          <w:szCs w:val="28"/>
          <w:highlight w:val="none"/>
          <w:lang w:eastAsia="zh-CN"/>
        </w:rPr>
        <w:t>银行账号</w:t>
      </w:r>
      <w:r>
        <w:rPr>
          <w:rFonts w:hint="eastAsia" w:ascii="仿宋" w:hAnsi="仿宋" w:eastAsia="仿宋"/>
          <w:sz w:val="28"/>
          <w:szCs w:val="28"/>
          <w:highlight w:val="none"/>
        </w:rPr>
        <w:t>：5105 0167 7108 0000 0087</w:t>
      </w:r>
    </w:p>
    <w:p>
      <w:pPr>
        <w:numPr>
          <w:ilvl w:val="255"/>
          <w:numId w:val="0"/>
        </w:numPr>
        <w:spacing w:line="360" w:lineRule="auto"/>
        <w:rPr>
          <w:rFonts w:ascii="仿宋" w:hAnsi="仿宋" w:eastAsia="仿宋"/>
          <w:sz w:val="28"/>
          <w:szCs w:val="28"/>
          <w:highlight w:val="none"/>
        </w:rPr>
      </w:pP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3.2 保证金退还：</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未中标方在我司公示</w:t>
      </w:r>
      <w:r>
        <w:rPr>
          <w:rFonts w:hint="eastAsia" w:ascii="仿宋" w:hAnsi="仿宋" w:eastAsia="仿宋"/>
          <w:sz w:val="28"/>
          <w:szCs w:val="28"/>
          <w:highlight w:val="none"/>
          <w:lang w:val="en-US" w:eastAsia="zh-CN"/>
        </w:rPr>
        <w:t>中选</w:t>
      </w:r>
      <w:r>
        <w:rPr>
          <w:rFonts w:hint="eastAsia" w:ascii="仿宋" w:hAnsi="仿宋" w:eastAsia="仿宋"/>
          <w:sz w:val="28"/>
          <w:szCs w:val="28"/>
          <w:highlight w:val="none"/>
        </w:rPr>
        <w:t>人后</w:t>
      </w: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日内一次性不计利息按原汇款路径退还投标保证金；</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中标方投标保证金在对应中标合同双方签订后</w:t>
      </w: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日内全额退还。</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若投标人有串标、围标、提供虚假证明材料、中标入围后因投标人原因无法签订合同等违规行为，投标保证金根据本次招标的相关规定不予退还且不开具任何票据。</w:t>
      </w:r>
    </w:p>
    <w:p>
      <w:pPr>
        <w:numPr>
          <w:ilvl w:val="255"/>
          <w:numId w:val="0"/>
        </w:numPr>
        <w:spacing w:line="360" w:lineRule="auto"/>
        <w:ind w:firstLine="402" w:firstLineChars="200"/>
        <w:rPr>
          <w:rFonts w:ascii="仿宋" w:hAnsi="仿宋" w:eastAsia="仿宋"/>
          <w:b/>
          <w:bCs/>
          <w:sz w:val="20"/>
          <w:szCs w:val="21"/>
          <w:highlight w:val="none"/>
        </w:rPr>
      </w:pPr>
    </w:p>
    <w:bookmarkEnd w:id="3"/>
    <w:p>
      <w:pPr>
        <w:adjustRightInd w:val="0"/>
        <w:snapToGrid w:val="0"/>
        <w:spacing w:line="360" w:lineRule="auto"/>
        <w:rPr>
          <w:rFonts w:ascii="仿宋" w:hAnsi="仿宋" w:eastAsia="仿宋"/>
          <w:b/>
          <w:sz w:val="28"/>
          <w:szCs w:val="28"/>
          <w:highlight w:val="none"/>
        </w:rPr>
      </w:pPr>
      <w:r>
        <w:rPr>
          <w:rFonts w:hint="eastAsia" w:ascii="仿宋" w:hAnsi="仿宋" w:eastAsia="仿宋"/>
          <w:b/>
          <w:sz w:val="28"/>
          <w:szCs w:val="28"/>
          <w:highlight w:val="none"/>
        </w:rPr>
        <w:t>四、</w:t>
      </w:r>
      <w:r>
        <w:rPr>
          <w:rFonts w:ascii="仿宋" w:hAnsi="仿宋" w:eastAsia="仿宋"/>
          <w:b/>
          <w:sz w:val="28"/>
          <w:szCs w:val="28"/>
          <w:highlight w:val="none"/>
        </w:rPr>
        <w:t>投标报名联系人</w:t>
      </w:r>
      <w:r>
        <w:rPr>
          <w:rFonts w:hint="eastAsia" w:ascii="仿宋" w:hAnsi="仿宋" w:eastAsia="仿宋"/>
          <w:b/>
          <w:sz w:val="28"/>
          <w:szCs w:val="28"/>
          <w:highlight w:val="none"/>
        </w:rPr>
        <w:t>及时间安排</w:t>
      </w:r>
      <w:r>
        <w:rPr>
          <w:rFonts w:ascii="仿宋" w:hAnsi="仿宋" w:eastAsia="仿宋"/>
          <w:b/>
          <w:sz w:val="28"/>
          <w:szCs w:val="28"/>
          <w:highlight w:val="none"/>
        </w:rPr>
        <w:t>：</w:t>
      </w:r>
      <w:r>
        <w:rPr>
          <w:rFonts w:hint="eastAsia" w:ascii="仿宋" w:hAnsi="仿宋" w:eastAsia="仿宋"/>
          <w:b/>
          <w:sz w:val="28"/>
          <w:szCs w:val="28"/>
          <w:highlight w:val="none"/>
        </w:rPr>
        <w:t xml:space="preserve"> </w:t>
      </w:r>
    </w:p>
    <w:p>
      <w:pPr>
        <w:adjustRightInd w:val="0"/>
        <w:snapToGrid w:val="0"/>
        <w:spacing w:line="360" w:lineRule="auto"/>
        <w:rPr>
          <w:rFonts w:ascii="仿宋" w:hAnsi="仿宋" w:eastAsia="仿宋"/>
          <w:sz w:val="28"/>
          <w:szCs w:val="28"/>
          <w:highlight w:val="none"/>
        </w:rPr>
      </w:pPr>
      <w:r>
        <w:rPr>
          <w:rFonts w:hint="eastAsia" w:ascii="仿宋" w:hAnsi="仿宋" w:eastAsia="仿宋"/>
          <w:sz w:val="28"/>
          <w:szCs w:val="28"/>
          <w:highlight w:val="none"/>
        </w:rPr>
        <w:t>4</w:t>
      </w:r>
      <w:r>
        <w:rPr>
          <w:rFonts w:ascii="仿宋" w:hAnsi="仿宋" w:eastAsia="仿宋"/>
          <w:sz w:val="28"/>
          <w:szCs w:val="28"/>
          <w:highlight w:val="none"/>
        </w:rPr>
        <w:t xml:space="preserve">.1 </w:t>
      </w:r>
      <w:r>
        <w:rPr>
          <w:rFonts w:hint="eastAsia" w:ascii="仿宋" w:hAnsi="仿宋" w:eastAsia="仿宋"/>
          <w:sz w:val="28"/>
          <w:szCs w:val="28"/>
          <w:highlight w:val="none"/>
        </w:rPr>
        <w:t>联系人及方式</w:t>
      </w:r>
    </w:p>
    <w:p>
      <w:pPr>
        <w:adjustRightInd w:val="0"/>
        <w:snapToGrid w:val="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①投标联系人：</w:t>
      </w:r>
      <w:r>
        <w:rPr>
          <w:rFonts w:hint="eastAsia" w:ascii="仿宋" w:hAnsi="仿宋" w:eastAsia="仿宋"/>
          <w:color w:val="auto"/>
          <w:sz w:val="28"/>
          <w:szCs w:val="28"/>
          <w:highlight w:val="none"/>
          <w:lang w:val="en-US" w:eastAsia="zh-CN"/>
        </w:rPr>
        <w:t>廖先生</w:t>
      </w:r>
      <w:r>
        <w:rPr>
          <w:rFonts w:hint="eastAsia" w:ascii="仿宋" w:hAnsi="仿宋" w:eastAsia="仿宋"/>
          <w:color w:val="auto"/>
          <w:sz w:val="28"/>
          <w:szCs w:val="28"/>
          <w:highlight w:val="none"/>
        </w:rPr>
        <w:t xml:space="preserve"> 电话 </w:t>
      </w:r>
      <w:r>
        <w:rPr>
          <w:rFonts w:hint="eastAsia" w:ascii="仿宋" w:hAnsi="仿宋" w:eastAsia="仿宋"/>
          <w:color w:val="auto"/>
          <w:sz w:val="28"/>
          <w:szCs w:val="28"/>
          <w:highlight w:val="none"/>
          <w:lang w:val="en-US" w:eastAsia="zh-CN"/>
        </w:rPr>
        <w:t>028-61863833转1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09:30-17:30</w:t>
      </w:r>
    </w:p>
    <w:p>
      <w:pPr>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②报名</w:t>
      </w:r>
      <w:r>
        <w:rPr>
          <w:rFonts w:hint="eastAsia" w:ascii="仿宋" w:hAnsi="仿宋" w:eastAsia="仿宋"/>
          <w:color w:val="auto"/>
          <w:sz w:val="28"/>
          <w:szCs w:val="28"/>
          <w:highlight w:val="none"/>
          <w:lang w:val="en-US" w:eastAsia="zh-CN"/>
        </w:rPr>
        <w:t>截止</w:t>
      </w:r>
      <w:r>
        <w:rPr>
          <w:rFonts w:hint="eastAsia" w:ascii="仿宋" w:hAnsi="仿宋" w:eastAsia="仿宋"/>
          <w:color w:val="auto"/>
          <w:sz w:val="28"/>
          <w:szCs w:val="28"/>
          <w:highlight w:val="none"/>
        </w:rPr>
        <w:t>时间:</w:t>
      </w:r>
      <w:r>
        <w:rPr>
          <w:rFonts w:hint="eastAsia" w:ascii="仿宋" w:hAnsi="仿宋" w:eastAsia="仿宋"/>
          <w:color w:val="auto"/>
          <w:sz w:val="28"/>
          <w:szCs w:val="28"/>
          <w:highlight w:val="none"/>
          <w:lang w:eastAsia="zh-CN"/>
        </w:rPr>
        <w:t xml:space="preserve"> 2024年3月27日16:00前</w:t>
      </w:r>
    </w:p>
    <w:p>
      <w:pPr>
        <w:spacing w:line="360" w:lineRule="auto"/>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③报名文件提交方式：登陆舍得酒业招采数字化平台(网址： </w:t>
      </w:r>
      <w:r>
        <w:rPr>
          <w:rFonts w:ascii="仿宋" w:hAnsi="仿宋" w:eastAsia="仿宋"/>
          <w:color w:val="auto"/>
          <w:sz w:val="28"/>
          <w:szCs w:val="28"/>
          <w:highlight w:val="none"/>
        </w:rPr>
        <w:t>https://ssrm.shede.com.cn</w:t>
      </w:r>
      <w:r>
        <w:rPr>
          <w:rFonts w:hint="eastAsia" w:ascii="仿宋" w:hAnsi="仿宋" w:eastAsia="仿宋"/>
          <w:color w:val="auto"/>
          <w:sz w:val="28"/>
          <w:szCs w:val="28"/>
          <w:highlight w:val="none"/>
        </w:rPr>
        <w:t>），点击页面顶部“一链网”参与项目报名,</w:t>
      </w:r>
      <w:r>
        <w:rPr>
          <w:rFonts w:hint="eastAsia"/>
          <w:color w:val="auto"/>
          <w:sz w:val="20"/>
          <w:szCs w:val="21"/>
          <w:highlight w:val="none"/>
        </w:rPr>
        <w:t xml:space="preserve"> </w:t>
      </w:r>
      <w:r>
        <w:rPr>
          <w:rFonts w:hint="eastAsia" w:ascii="仿宋" w:hAnsi="仿宋" w:eastAsia="仿宋"/>
          <w:color w:val="auto"/>
          <w:sz w:val="28"/>
          <w:szCs w:val="28"/>
          <w:highlight w:val="none"/>
        </w:rPr>
        <w:t>并按照“附件二投标预审资料提交模板”的要求提供资格预审盖章扫描文件及可编辑word版本。</w:t>
      </w:r>
    </w:p>
    <w:p>
      <w:pPr>
        <w:spacing w:line="360" w:lineRule="auto"/>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未按照上述要求进行报名的均视为报名无效</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报名截止后</w:t>
      </w:r>
      <w:r>
        <w:rPr>
          <w:rFonts w:ascii="仿宋" w:hAnsi="仿宋" w:eastAsia="仿宋"/>
          <w:color w:val="auto"/>
          <w:sz w:val="28"/>
          <w:szCs w:val="28"/>
          <w:highlight w:val="none"/>
        </w:rPr>
        <w:t>通过资格预审</w:t>
      </w:r>
      <w:r>
        <w:rPr>
          <w:rFonts w:hint="eastAsia" w:ascii="仿宋" w:hAnsi="仿宋" w:eastAsia="仿宋"/>
          <w:color w:val="auto"/>
          <w:sz w:val="28"/>
          <w:szCs w:val="28"/>
          <w:highlight w:val="none"/>
          <w:lang w:val="en-US" w:eastAsia="zh-CN"/>
        </w:rPr>
        <w:t>的</w:t>
      </w:r>
      <w:r>
        <w:rPr>
          <w:rFonts w:ascii="仿宋" w:hAnsi="仿宋" w:eastAsia="仿宋"/>
          <w:color w:val="auto"/>
          <w:sz w:val="28"/>
          <w:szCs w:val="28"/>
          <w:highlight w:val="none"/>
        </w:rPr>
        <w:t>投标人可</w:t>
      </w:r>
      <w:r>
        <w:rPr>
          <w:rFonts w:hint="eastAsia" w:ascii="仿宋" w:hAnsi="仿宋" w:eastAsia="仿宋"/>
          <w:color w:val="auto"/>
          <w:sz w:val="28"/>
          <w:szCs w:val="28"/>
          <w:highlight w:val="none"/>
          <w:lang w:val="en-US" w:eastAsia="zh-CN"/>
        </w:rPr>
        <w:t>获取招标文件并</w:t>
      </w:r>
      <w:r>
        <w:rPr>
          <w:rFonts w:ascii="仿宋" w:hAnsi="仿宋" w:eastAsia="仿宋"/>
          <w:color w:val="auto"/>
          <w:sz w:val="28"/>
          <w:szCs w:val="28"/>
          <w:highlight w:val="none"/>
        </w:rPr>
        <w:t>参加投标。</w:t>
      </w:r>
    </w:p>
    <w:p>
      <w:pPr>
        <w:rPr>
          <w:rFonts w:ascii="仿宋" w:hAnsi="仿宋" w:eastAsia="仿宋"/>
          <w:color w:val="auto"/>
          <w:sz w:val="28"/>
          <w:szCs w:val="28"/>
          <w:highlight w:val="none"/>
        </w:rPr>
      </w:pPr>
      <w:r>
        <w:rPr>
          <w:rFonts w:hint="eastAsia" w:ascii="仿宋" w:hAnsi="仿宋" w:eastAsia="仿宋"/>
          <w:color w:val="auto"/>
          <w:sz w:val="28"/>
          <w:szCs w:val="28"/>
          <w:highlight w:val="none"/>
        </w:rPr>
        <w:t>4</w:t>
      </w:r>
      <w:r>
        <w:rPr>
          <w:rFonts w:ascii="仿宋" w:hAnsi="仿宋" w:eastAsia="仿宋"/>
          <w:color w:val="auto"/>
          <w:sz w:val="28"/>
          <w:szCs w:val="28"/>
          <w:highlight w:val="none"/>
        </w:rPr>
        <w:t>.2</w:t>
      </w:r>
      <w:r>
        <w:rPr>
          <w:rFonts w:hint="eastAsia" w:ascii="仿宋" w:hAnsi="仿宋" w:eastAsia="仿宋"/>
          <w:color w:val="auto"/>
          <w:sz w:val="28"/>
          <w:szCs w:val="28"/>
          <w:highlight w:val="none"/>
        </w:rPr>
        <w:t>招标文件的获取方式</w:t>
      </w:r>
    </w:p>
    <w:p>
      <w:pPr>
        <w:spacing w:line="360" w:lineRule="auto"/>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登陆舍得酒业招采数字化平台（网址： </w:t>
      </w:r>
      <w:r>
        <w:rPr>
          <w:rFonts w:ascii="仿宋" w:hAnsi="仿宋" w:eastAsia="仿宋"/>
          <w:color w:val="auto"/>
          <w:sz w:val="28"/>
          <w:szCs w:val="28"/>
          <w:highlight w:val="none"/>
        </w:rPr>
        <w:t>https://ssrm.shede.com.cn</w:t>
      </w:r>
      <w:r>
        <w:rPr>
          <w:rFonts w:hint="eastAsia" w:ascii="仿宋" w:hAnsi="仿宋" w:eastAsia="仿宋"/>
          <w:color w:val="auto"/>
          <w:sz w:val="28"/>
          <w:szCs w:val="28"/>
          <w:highlight w:val="none"/>
        </w:rPr>
        <w:t>），点击页面顶部的“一链网”获取招标文件。</w:t>
      </w:r>
    </w:p>
    <w:p>
      <w:pPr>
        <w:spacing w:line="360" w:lineRule="auto"/>
        <w:rPr>
          <w:rFonts w:ascii="仿宋" w:hAnsi="仿宋" w:eastAsia="仿宋"/>
          <w:sz w:val="28"/>
          <w:szCs w:val="28"/>
          <w:highlight w:val="none"/>
        </w:rPr>
      </w:pPr>
      <w:r>
        <w:rPr>
          <w:rFonts w:hint="eastAsia" w:ascii="仿宋" w:hAnsi="仿宋" w:eastAsia="仿宋"/>
          <w:sz w:val="28"/>
          <w:szCs w:val="28"/>
          <w:highlight w:val="none"/>
        </w:rPr>
        <w:t>4</w:t>
      </w:r>
      <w:r>
        <w:rPr>
          <w:rFonts w:ascii="仿宋" w:hAnsi="仿宋" w:eastAsia="仿宋"/>
          <w:sz w:val="28"/>
          <w:szCs w:val="28"/>
          <w:highlight w:val="none"/>
        </w:rPr>
        <w:t>.3</w:t>
      </w:r>
      <w:r>
        <w:rPr>
          <w:rFonts w:hint="eastAsia" w:ascii="仿宋" w:hAnsi="仿宋" w:eastAsia="仿宋"/>
          <w:sz w:val="28"/>
          <w:szCs w:val="28"/>
          <w:highlight w:val="none"/>
        </w:rPr>
        <w:t>时间安排</w:t>
      </w:r>
    </w:p>
    <w:p>
      <w:pPr>
        <w:spacing w:line="360" w:lineRule="auto"/>
        <w:rPr>
          <w:rFonts w:ascii="仿宋" w:hAnsi="仿宋" w:eastAsia="仿宋"/>
          <w:sz w:val="28"/>
          <w:szCs w:val="28"/>
          <w:highlight w:val="none"/>
        </w:rPr>
      </w:pPr>
      <w:r>
        <w:rPr>
          <w:rFonts w:ascii="仿宋" w:hAnsi="仿宋" w:eastAsia="仿宋"/>
          <w:sz w:val="28"/>
          <w:szCs w:val="28"/>
          <w:highlight w:val="none"/>
        </w:rPr>
        <w:t>本项目</w:t>
      </w:r>
      <w:r>
        <w:rPr>
          <w:rFonts w:hint="eastAsia" w:ascii="仿宋" w:hAnsi="仿宋" w:eastAsia="仿宋"/>
          <w:sz w:val="28"/>
          <w:szCs w:val="28"/>
          <w:highlight w:val="none"/>
        </w:rPr>
        <w:t>预计发标</w:t>
      </w:r>
      <w:r>
        <w:rPr>
          <w:rFonts w:ascii="仿宋" w:hAnsi="仿宋" w:eastAsia="仿宋"/>
          <w:sz w:val="28"/>
          <w:szCs w:val="28"/>
          <w:highlight w:val="none"/>
        </w:rPr>
        <w:t>时间：</w:t>
      </w:r>
      <w:r>
        <w:rPr>
          <w:rFonts w:hint="eastAsia" w:ascii="仿宋" w:hAnsi="仿宋" w:eastAsia="仿宋"/>
          <w:sz w:val="28"/>
          <w:szCs w:val="28"/>
          <w:highlight w:val="none"/>
          <w:lang w:val="en-US" w:eastAsia="zh-CN"/>
        </w:rPr>
        <w:t>2024年3月30日</w:t>
      </w:r>
    </w:p>
    <w:p>
      <w:pPr>
        <w:spacing w:line="360" w:lineRule="auto"/>
        <w:rPr>
          <w:rFonts w:ascii="仿宋" w:hAnsi="仿宋" w:eastAsia="仿宋"/>
          <w:sz w:val="28"/>
          <w:szCs w:val="28"/>
          <w:highlight w:val="none"/>
        </w:rPr>
      </w:pPr>
      <w:r>
        <w:rPr>
          <w:rFonts w:hint="eastAsia" w:ascii="仿宋" w:hAnsi="仿宋" w:eastAsia="仿宋"/>
          <w:sz w:val="28"/>
          <w:szCs w:val="28"/>
          <w:highlight w:val="none"/>
        </w:rPr>
        <w:t>本项目</w:t>
      </w:r>
      <w:r>
        <w:rPr>
          <w:rFonts w:ascii="仿宋" w:hAnsi="仿宋" w:eastAsia="仿宋"/>
          <w:sz w:val="28"/>
          <w:szCs w:val="28"/>
          <w:highlight w:val="none"/>
        </w:rPr>
        <w:t>预计</w:t>
      </w:r>
      <w:r>
        <w:rPr>
          <w:rFonts w:hint="eastAsia" w:ascii="仿宋" w:hAnsi="仿宋" w:eastAsia="仿宋"/>
          <w:sz w:val="28"/>
          <w:szCs w:val="28"/>
          <w:highlight w:val="none"/>
        </w:rPr>
        <w:t>回标</w:t>
      </w:r>
      <w:r>
        <w:rPr>
          <w:rFonts w:ascii="仿宋" w:hAnsi="仿宋" w:eastAsia="仿宋"/>
          <w:sz w:val="28"/>
          <w:szCs w:val="28"/>
          <w:highlight w:val="none"/>
        </w:rPr>
        <w:t>时间：</w:t>
      </w:r>
      <w:r>
        <w:rPr>
          <w:rFonts w:hint="eastAsia" w:ascii="仿宋" w:hAnsi="仿宋" w:eastAsia="仿宋"/>
          <w:sz w:val="28"/>
          <w:szCs w:val="28"/>
          <w:highlight w:val="none"/>
          <w:lang w:val="en-US" w:eastAsia="zh-CN"/>
        </w:rPr>
        <w:t>2024年4月10日</w:t>
      </w:r>
    </w:p>
    <w:p>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本项目预计开标时间：</w:t>
      </w:r>
      <w:r>
        <w:rPr>
          <w:rFonts w:hint="eastAsia" w:ascii="仿宋" w:hAnsi="仿宋" w:eastAsia="仿宋"/>
          <w:sz w:val="28"/>
          <w:szCs w:val="28"/>
          <w:highlight w:val="none"/>
          <w:lang w:val="en-US" w:eastAsia="zh-CN"/>
        </w:rPr>
        <w:t>2024年4月10日</w:t>
      </w:r>
    </w:p>
    <w:p>
      <w:pPr>
        <w:spacing w:line="360" w:lineRule="auto"/>
        <w:rPr>
          <w:rFonts w:hint="eastAsia" w:ascii="仿宋" w:hAnsi="仿宋" w:eastAsia="仿宋"/>
          <w:sz w:val="28"/>
          <w:szCs w:val="28"/>
          <w:highlight w:val="none"/>
        </w:rPr>
      </w:pPr>
      <w:r>
        <w:rPr>
          <w:rFonts w:ascii="仿宋" w:hAnsi="仿宋" w:eastAsia="仿宋"/>
          <w:sz w:val="28"/>
          <w:szCs w:val="28"/>
          <w:highlight w:val="none"/>
        </w:rPr>
        <w:t>以上时间会根据项目的进度有所变动</w:t>
      </w:r>
      <w:r>
        <w:rPr>
          <w:rFonts w:hint="eastAsia" w:ascii="仿宋" w:hAnsi="仿宋" w:eastAsia="仿宋"/>
          <w:sz w:val="28"/>
          <w:szCs w:val="28"/>
          <w:highlight w:val="none"/>
        </w:rPr>
        <w:t>，以实际为准。</w:t>
      </w:r>
      <w:bookmarkEnd w:id="0"/>
    </w:p>
    <w:p>
      <w:pPr>
        <w:spacing w:line="360" w:lineRule="auto"/>
        <w:rPr>
          <w:rFonts w:hint="eastAsia" w:ascii="仿宋" w:hAnsi="仿宋" w:eastAsia="仿宋"/>
          <w:b/>
          <w:bCs/>
          <w:sz w:val="32"/>
          <w:szCs w:val="32"/>
        </w:rPr>
      </w:pPr>
    </w:p>
    <w:p>
      <w:pPr>
        <w:spacing w:line="360" w:lineRule="auto"/>
        <w:rPr>
          <w:rFonts w:ascii="仿宋" w:hAnsi="仿宋" w:eastAsia="仿宋"/>
          <w:b/>
          <w:bCs/>
          <w:sz w:val="32"/>
          <w:szCs w:val="32"/>
        </w:rPr>
      </w:pPr>
      <w:r>
        <w:rPr>
          <w:rFonts w:hint="eastAsia" w:ascii="仿宋" w:hAnsi="仿宋" w:eastAsia="仿宋"/>
          <w:b/>
          <w:bCs/>
          <w:sz w:val="32"/>
          <w:szCs w:val="32"/>
        </w:rPr>
        <w:t>五、附件</w:t>
      </w:r>
    </w:p>
    <w:p>
      <w:pPr>
        <w:spacing w:line="360" w:lineRule="auto"/>
        <w:rPr>
          <w:rFonts w:ascii="仿宋" w:hAnsi="仿宋" w:eastAsia="仿宋"/>
          <w:sz w:val="32"/>
          <w:szCs w:val="32"/>
        </w:rPr>
      </w:pPr>
      <w:r>
        <w:rPr>
          <w:rFonts w:hint="eastAsia" w:ascii="仿宋" w:hAnsi="仿宋" w:eastAsia="仿宋"/>
          <w:sz w:val="32"/>
          <w:szCs w:val="32"/>
        </w:rPr>
        <w:t>附件一：</w:t>
      </w:r>
      <w:r>
        <w:rPr>
          <w:rFonts w:ascii="仿宋" w:hAnsi="仿宋" w:eastAsia="仿宋"/>
          <w:sz w:val="32"/>
          <w:szCs w:val="32"/>
        </w:rPr>
        <w:t>资格预审必要合格条件标准</w:t>
      </w:r>
    </w:p>
    <w:p>
      <w:pPr>
        <w:spacing w:line="360" w:lineRule="auto"/>
        <w:rPr>
          <w:rFonts w:ascii="仿宋" w:hAnsi="仿宋" w:eastAsia="仿宋"/>
          <w:sz w:val="32"/>
          <w:szCs w:val="32"/>
        </w:rPr>
      </w:pPr>
      <w:r>
        <w:rPr>
          <w:rFonts w:hint="eastAsia" w:ascii="仿宋" w:hAnsi="仿宋" w:eastAsia="仿宋"/>
          <w:sz w:val="32"/>
          <w:szCs w:val="32"/>
        </w:rPr>
        <w:t>附件二：投标预审资料提交模板（点击文章末尾下载）</w:t>
      </w:r>
    </w:p>
    <w:p>
      <w:pPr>
        <w:spacing w:line="360" w:lineRule="auto"/>
        <w:jc w:val="right"/>
        <w:rPr>
          <w:rFonts w:ascii="仿宋" w:hAnsi="仿宋" w:eastAsia="仿宋"/>
          <w:sz w:val="32"/>
          <w:szCs w:val="32"/>
        </w:rPr>
      </w:pPr>
      <w:r>
        <w:rPr>
          <w:rFonts w:hint="eastAsia" w:ascii="仿宋" w:hAnsi="仿宋" w:eastAsia="仿宋"/>
          <w:sz w:val="32"/>
          <w:szCs w:val="32"/>
        </w:rPr>
        <w:t>四川沱牌舍得营销有限公司</w:t>
      </w:r>
    </w:p>
    <w:p>
      <w:pPr>
        <w:spacing w:line="360" w:lineRule="auto"/>
        <w:ind w:right="640"/>
        <w:jc w:val="right"/>
        <w:rPr>
          <w:rFonts w:ascii="仿宋" w:hAnsi="仿宋" w:eastAsia="仿宋"/>
          <w:sz w:val="32"/>
          <w:szCs w:val="32"/>
        </w:rPr>
      </w:pPr>
      <w:r>
        <w:rPr>
          <w:rFonts w:hint="eastAsia" w:ascii="仿宋" w:hAnsi="仿宋" w:eastAsia="仿宋"/>
          <w:sz w:val="32"/>
          <w:szCs w:val="32"/>
          <w:lang w:val="en-US" w:eastAsia="zh-CN"/>
        </w:rPr>
        <w:t>2024</w:t>
      </w:r>
      <w:r>
        <w:rPr>
          <w:rFonts w:hint="eastAsia" w:ascii="仿宋" w:hAnsi="仿宋" w:eastAsia="仿宋"/>
          <w:sz w:val="32"/>
          <w:szCs w:val="32"/>
        </w:rPr>
        <w:t>年</w:t>
      </w:r>
      <w:r>
        <w:rPr>
          <w:rFonts w:hint="eastAsia" w:ascii="仿宋" w:hAnsi="仿宋" w:eastAsia="仿宋"/>
          <w:sz w:val="32"/>
          <w:szCs w:val="32"/>
          <w:lang w:val="en-US" w:eastAsia="zh-CN"/>
        </w:rPr>
        <w:t>3</w:t>
      </w:r>
      <w:r>
        <w:rPr>
          <w:rFonts w:hint="eastAsia" w:ascii="仿宋" w:hAnsi="仿宋" w:eastAsia="仿宋"/>
          <w:sz w:val="32"/>
          <w:szCs w:val="32"/>
        </w:rPr>
        <w:t>月</w:t>
      </w:r>
      <w:r>
        <w:rPr>
          <w:rFonts w:hint="eastAsia" w:ascii="仿宋" w:hAnsi="仿宋" w:eastAsia="仿宋"/>
          <w:sz w:val="32"/>
          <w:szCs w:val="32"/>
          <w:lang w:val="en-US" w:eastAsia="zh-CN"/>
        </w:rPr>
        <w:t>21</w:t>
      </w:r>
      <w:r>
        <w:rPr>
          <w:rFonts w:hint="eastAsia" w:ascii="仿宋" w:hAnsi="仿宋" w:eastAsia="仿宋"/>
          <w:sz w:val="32"/>
          <w:szCs w:val="32"/>
        </w:rPr>
        <w:t>日</w:t>
      </w:r>
    </w:p>
    <w:p>
      <w:pPr>
        <w:pStyle w:val="2"/>
        <w:rPr>
          <w:rFonts w:hint="eastAsia" w:ascii="仿宋" w:hAnsi="仿宋" w:eastAsia="仿宋"/>
          <w:sz w:val="28"/>
          <w:szCs w:val="28"/>
          <w:highlight w:val="none"/>
        </w:rPr>
      </w:pPr>
    </w:p>
    <w:p>
      <w:pPr>
        <w:rPr>
          <w:rFonts w:hint="eastAsia" w:ascii="仿宋" w:hAnsi="仿宋" w:eastAsia="仿宋"/>
          <w:sz w:val="28"/>
          <w:szCs w:val="28"/>
          <w:highlight w:val="none"/>
        </w:rPr>
      </w:pPr>
    </w:p>
    <w:p>
      <w:pPr>
        <w:widowControl/>
        <w:spacing w:line="360" w:lineRule="auto"/>
        <w:jc w:val="left"/>
        <w:rPr>
          <w:rFonts w:ascii="仿宋" w:hAnsi="仿宋" w:eastAsia="仿宋"/>
          <w:b/>
          <w:sz w:val="28"/>
          <w:szCs w:val="28"/>
          <w:highlight w:val="none"/>
        </w:rPr>
      </w:pPr>
      <w:r>
        <w:rPr>
          <w:rFonts w:hint="eastAsia" w:ascii="仿宋" w:hAnsi="仿宋" w:eastAsia="仿宋"/>
          <w:b/>
          <w:sz w:val="28"/>
          <w:szCs w:val="28"/>
          <w:highlight w:val="none"/>
        </w:rPr>
        <w:t>附件一：</w:t>
      </w:r>
      <w:bookmarkStart w:id="4" w:name="_Hlk108623121"/>
      <w:r>
        <w:rPr>
          <w:rFonts w:ascii="仿宋" w:hAnsi="仿宋" w:eastAsia="仿宋"/>
          <w:b/>
          <w:sz w:val="28"/>
          <w:szCs w:val="28"/>
          <w:highlight w:val="none"/>
        </w:rPr>
        <w:t>资格预审必要合格条件标准</w:t>
      </w:r>
    </w:p>
    <w:tbl>
      <w:tblPr>
        <w:tblStyle w:val="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1584"/>
        <w:gridCol w:w="6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1</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pPr>
              <w:spacing w:line="360" w:lineRule="auto"/>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5"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2</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pPr>
              <w:pStyle w:val="2"/>
              <w:spacing w:line="360" w:lineRule="auto"/>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5</w:t>
            </w:r>
            <w:r>
              <w:rPr>
                <w:rFonts w:hint="eastAsia" w:ascii="仿宋" w:hAnsi="仿宋" w:eastAsia="仿宋"/>
                <w:b w:val="0"/>
                <w:bCs w:val="0"/>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pPr>
              <w:pStyle w:val="2"/>
              <w:spacing w:line="360" w:lineRule="auto"/>
              <w:rPr>
                <w:rFonts w:ascii="仿宋" w:hAnsi="仿宋" w:eastAsia="仿宋"/>
                <w:sz w:val="22"/>
                <w:szCs w:val="22"/>
                <w:highlight w:val="none"/>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500</w:t>
            </w:r>
            <w:r>
              <w:rPr>
                <w:rFonts w:hint="eastAsia" w:ascii="仿宋" w:hAnsi="仿宋" w:eastAsia="仿宋"/>
                <w:b w:val="0"/>
                <w:bCs w:val="0"/>
                <w:sz w:val="22"/>
                <w:szCs w:val="22"/>
                <w:highlight w:val="none"/>
              </w:rPr>
              <w:t>万元或等额外币，具有良好银行资信和商业信誉（提供经正式审计的财务报表）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3</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pPr>
              <w:spacing w:line="360" w:lineRule="auto"/>
              <w:rPr>
                <w:rFonts w:ascii="仿宋" w:hAnsi="仿宋" w:eastAsia="仿宋"/>
                <w:sz w:val="22"/>
                <w:szCs w:val="21"/>
                <w:highlight w:val="none"/>
              </w:rPr>
            </w:pPr>
            <w:r>
              <w:rPr>
                <w:rFonts w:ascii="仿宋" w:hAnsi="仿宋" w:eastAsia="仿宋"/>
                <w:sz w:val="22"/>
                <w:szCs w:val="21"/>
                <w:highlight w:val="none"/>
              </w:rPr>
              <w:t>本项目不接</w:t>
            </w:r>
            <w:r>
              <w:rPr>
                <w:rFonts w:ascii="仿宋" w:hAnsi="仿宋" w:eastAsia="仿宋"/>
                <w:i w:val="0"/>
                <w:iCs w:val="0"/>
                <w:sz w:val="22"/>
                <w:szCs w:val="21"/>
                <w:highlight w:val="none"/>
              </w:rPr>
              <w:t>受挂靠、分包、转包、联合体</w:t>
            </w:r>
            <w:r>
              <w:rPr>
                <w:rFonts w:ascii="仿宋" w:hAnsi="仿宋" w:eastAsia="仿宋"/>
                <w:sz w:val="22"/>
                <w:szCs w:val="21"/>
                <w:highlight w:val="none"/>
              </w:rPr>
              <w:t>单位参与投标</w:t>
            </w:r>
            <w:r>
              <w:rPr>
                <w:rFonts w:hint="eastAsia" w:ascii="仿宋" w:hAnsi="仿宋" w:eastAsia="仿宋"/>
                <w:sz w:val="22"/>
                <w:szCs w:val="21"/>
                <w:highlight w:val="none"/>
              </w:rPr>
              <w:t>，投标人需出具承诺书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pPr>
              <w:widowControl/>
              <w:spacing w:line="360" w:lineRule="auto"/>
              <w:rPr>
                <w:rFonts w:ascii="仿宋" w:hAnsi="仿宋" w:eastAsia="仿宋" w:cs="宋体"/>
                <w:kern w:val="0"/>
                <w:sz w:val="22"/>
                <w:szCs w:val="21"/>
                <w:highlight w:val="none"/>
              </w:rPr>
            </w:pPr>
            <w:r>
              <w:rPr>
                <w:rFonts w:hint="eastAsia" w:ascii="仿宋" w:hAnsi="仿宋" w:eastAsia="仿宋" w:cs="宋体"/>
                <w:kern w:val="0"/>
                <w:sz w:val="22"/>
                <w:szCs w:val="21"/>
                <w:highlight w:val="none"/>
              </w:rPr>
              <w:t>拥有丰富的广告（</w:t>
            </w:r>
            <w:r>
              <w:rPr>
                <w:rFonts w:hint="eastAsia" w:ascii="仿宋" w:hAnsi="仿宋" w:eastAsia="仿宋" w:cs="宋体"/>
                <w:kern w:val="0"/>
                <w:sz w:val="22"/>
                <w:szCs w:val="21"/>
                <w:highlight w:val="none"/>
                <w:lang w:val="en-US" w:eastAsia="zh-CN"/>
              </w:rPr>
              <w:t>户外类</w:t>
            </w:r>
            <w:r>
              <w:rPr>
                <w:rFonts w:hint="eastAsia" w:ascii="仿宋" w:hAnsi="仿宋" w:eastAsia="仿宋" w:cs="宋体"/>
                <w:kern w:val="0"/>
                <w:sz w:val="22"/>
                <w:szCs w:val="21"/>
                <w:highlight w:val="none"/>
              </w:rPr>
              <w:t>）</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经验，至少提供</w:t>
            </w:r>
            <w:r>
              <w:rPr>
                <w:rFonts w:hint="eastAsia" w:ascii="仿宋" w:hAnsi="仿宋" w:eastAsia="仿宋" w:cs="宋体"/>
                <w:kern w:val="0"/>
                <w:sz w:val="22"/>
                <w:szCs w:val="21"/>
                <w:highlight w:val="none"/>
                <w:lang w:val="en-US" w:eastAsia="zh-CN"/>
              </w:rPr>
              <w:t>2021</w:t>
            </w:r>
            <w:r>
              <w:rPr>
                <w:rFonts w:hint="eastAsia" w:ascii="仿宋" w:hAnsi="仿宋" w:eastAsia="仿宋" w:cs="宋体"/>
                <w:kern w:val="0"/>
                <w:sz w:val="22"/>
                <w:szCs w:val="21"/>
                <w:highlight w:val="none"/>
              </w:rPr>
              <w:t>年至今，3个以上</w:t>
            </w:r>
            <w:r>
              <w:rPr>
                <w:rFonts w:hint="eastAsia" w:ascii="仿宋" w:hAnsi="仿宋" w:eastAsia="仿宋" w:cs="宋体"/>
                <w:kern w:val="0"/>
                <w:sz w:val="22"/>
                <w:szCs w:val="21"/>
                <w:highlight w:val="none"/>
                <w:lang w:val="en-US" w:eastAsia="zh-CN"/>
              </w:rPr>
              <w:t>与</w:t>
            </w:r>
            <w:r>
              <w:rPr>
                <w:rFonts w:hint="eastAsia" w:ascii="仿宋" w:hAnsi="仿宋" w:eastAsia="仿宋" w:cs="宋体"/>
                <w:kern w:val="0"/>
                <w:sz w:val="22"/>
                <w:szCs w:val="21"/>
                <w:highlight w:val="none"/>
              </w:rPr>
              <w:t>本项目相关的成功案例</w:t>
            </w:r>
            <w:r>
              <w:rPr>
                <w:rFonts w:hint="eastAsia" w:ascii="仿宋" w:hAnsi="仿宋" w:eastAsia="仿宋" w:cs="宋体"/>
                <w:kern w:val="0"/>
                <w:sz w:val="22"/>
                <w:szCs w:val="21"/>
                <w:highlight w:val="none"/>
                <w:lang w:val="en-US" w:eastAsia="zh-CN"/>
              </w:rPr>
              <w:t>合同</w:t>
            </w:r>
            <w:r>
              <w:rPr>
                <w:rFonts w:hint="eastAsia" w:ascii="仿宋" w:hAnsi="仿宋" w:eastAsia="仿宋" w:cs="宋体"/>
                <w:kern w:val="0"/>
                <w:sz w:val="22"/>
                <w:szCs w:val="21"/>
                <w:highlight w:val="none"/>
              </w:rPr>
              <w:t>，单个合同金额不低于20万</w:t>
            </w:r>
            <w:r>
              <w:rPr>
                <w:rFonts w:hint="eastAsia" w:ascii="仿宋" w:hAnsi="仿宋" w:eastAsia="仿宋" w:cs="宋体"/>
                <w:kern w:val="0"/>
                <w:sz w:val="22"/>
                <w:szCs w:val="21"/>
                <w:highlight w:val="none"/>
                <w:lang w:eastAsia="zh-CN"/>
              </w:rPr>
              <w:t>。</w:t>
            </w:r>
            <w:r>
              <w:rPr>
                <w:rFonts w:hint="eastAsia" w:ascii="仿宋" w:hAnsi="仿宋" w:eastAsia="仿宋" w:cs="宋体"/>
                <w:kern w:val="0"/>
                <w:sz w:val="22"/>
                <w:szCs w:val="21"/>
                <w:highlight w:val="none"/>
              </w:rPr>
              <w:t>需提供合同关键页扫描件证明（甲乙方名称及双方盖章可见，合同主要内容概述、金额、时间可见）</w:t>
            </w:r>
            <w:r>
              <w:rPr>
                <w:rFonts w:hint="eastAsia" w:ascii="仿宋" w:hAnsi="仿宋" w:eastAsia="仿宋" w:cs="宋体"/>
                <w:kern w:val="0"/>
                <w:sz w:val="22"/>
                <w:szCs w:val="21"/>
                <w:highlight w:val="none"/>
                <w:lang w:val="en-US" w:eastAsia="zh-CN"/>
              </w:rPr>
              <w:t>及发票</w:t>
            </w:r>
            <w:r>
              <w:rPr>
                <w:rFonts w:hint="eastAsia" w:ascii="仿宋" w:hAnsi="仿宋" w:eastAsia="仿宋" w:cs="宋体"/>
                <w:kern w:val="0"/>
                <w:sz w:val="22"/>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ascii="仿宋" w:hAnsi="仿宋" w:eastAsia="仿宋"/>
                <w:sz w:val="22"/>
                <w:szCs w:val="21"/>
                <w:highlight w:val="none"/>
              </w:rPr>
              <w:t>5</w:t>
            </w:r>
          </w:p>
        </w:tc>
        <w:tc>
          <w:tcPr>
            <w:tcW w:w="866" w:type="pct"/>
            <w:vAlign w:val="center"/>
          </w:tcPr>
          <w:p>
            <w:pPr>
              <w:spacing w:line="360" w:lineRule="auto"/>
              <w:jc w:val="center"/>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pPr>
              <w:spacing w:line="360" w:lineRule="auto"/>
              <w:jc w:val="both"/>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pPr>
        <w:rPr>
          <w:sz w:val="20"/>
          <w:szCs w:val="21"/>
          <w:highlight w:val="none"/>
        </w:rPr>
      </w:pPr>
    </w:p>
    <w:bookmarkEnd w:id="4"/>
    <w:p>
      <w:pPr>
        <w:spacing w:line="360" w:lineRule="auto"/>
        <w:ind w:left="440" w:leftChars="-2" w:hanging="444" w:hangingChars="202"/>
        <w:jc w:val="left"/>
        <w:rPr>
          <w:rFonts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pPr>
        <w:spacing w:line="360" w:lineRule="auto"/>
        <w:ind w:firstLine="405"/>
        <w:jc w:val="left"/>
        <w:rPr>
          <w:rFonts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pPr>
        <w:spacing w:line="360" w:lineRule="auto"/>
        <w:ind w:left="424" w:leftChars="202"/>
        <w:jc w:val="left"/>
        <w:rPr>
          <w:rFonts w:ascii="仿宋" w:hAnsi="仿宋" w:eastAsia="仿宋"/>
          <w:sz w:val="20"/>
          <w:szCs w:val="21"/>
          <w:highlight w:val="none"/>
        </w:rPr>
      </w:pPr>
      <w:r>
        <w:rPr>
          <w:rFonts w:hint="eastAsia" w:ascii="仿宋" w:hAnsi="仿宋" w:eastAsia="仿宋"/>
          <w:sz w:val="22"/>
          <w:szCs w:val="21"/>
          <w:highlight w:val="none"/>
        </w:rPr>
        <w:t>3、除《附件一》中要求提供的文件外，可以另外提供投标人认为有必要的其他资质文件。</w:t>
      </w:r>
    </w:p>
    <w:p>
      <w:pPr>
        <w:pStyle w:val="2"/>
      </w:pPr>
    </w:p>
    <w:sectPr>
      <w:pgSz w:w="11906" w:h="16838"/>
      <w:pgMar w:top="1440" w:right="1274"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A10C5F"/>
    <w:rsid w:val="0003556D"/>
    <w:rsid w:val="00047349"/>
    <w:rsid w:val="00082DC9"/>
    <w:rsid w:val="000A06B1"/>
    <w:rsid w:val="000A1332"/>
    <w:rsid w:val="000C1ED5"/>
    <w:rsid w:val="000C5209"/>
    <w:rsid w:val="000D3E6D"/>
    <w:rsid w:val="0015468D"/>
    <w:rsid w:val="001710E7"/>
    <w:rsid w:val="001761E8"/>
    <w:rsid w:val="001B7BCE"/>
    <w:rsid w:val="001E0868"/>
    <w:rsid w:val="00223156"/>
    <w:rsid w:val="00246B39"/>
    <w:rsid w:val="002659CA"/>
    <w:rsid w:val="00273539"/>
    <w:rsid w:val="00274C5A"/>
    <w:rsid w:val="00280E8E"/>
    <w:rsid w:val="00283F4E"/>
    <w:rsid w:val="0028629E"/>
    <w:rsid w:val="002B0580"/>
    <w:rsid w:val="002E4BF4"/>
    <w:rsid w:val="002F0E5F"/>
    <w:rsid w:val="00353A04"/>
    <w:rsid w:val="00355CBA"/>
    <w:rsid w:val="003609B9"/>
    <w:rsid w:val="00390AAA"/>
    <w:rsid w:val="00394DC3"/>
    <w:rsid w:val="0039547B"/>
    <w:rsid w:val="003A72DE"/>
    <w:rsid w:val="003C562E"/>
    <w:rsid w:val="0049108B"/>
    <w:rsid w:val="004A7F6F"/>
    <w:rsid w:val="004C5D0C"/>
    <w:rsid w:val="004D14EE"/>
    <w:rsid w:val="004D6F3F"/>
    <w:rsid w:val="005038EA"/>
    <w:rsid w:val="00512840"/>
    <w:rsid w:val="005549ED"/>
    <w:rsid w:val="00555601"/>
    <w:rsid w:val="00591922"/>
    <w:rsid w:val="005E44B3"/>
    <w:rsid w:val="005F3188"/>
    <w:rsid w:val="0069353A"/>
    <w:rsid w:val="0069408F"/>
    <w:rsid w:val="006C63B4"/>
    <w:rsid w:val="006D2CA9"/>
    <w:rsid w:val="006E2CF4"/>
    <w:rsid w:val="006F3EE6"/>
    <w:rsid w:val="006F428E"/>
    <w:rsid w:val="00712C31"/>
    <w:rsid w:val="007504D8"/>
    <w:rsid w:val="00771B65"/>
    <w:rsid w:val="00791306"/>
    <w:rsid w:val="007E128D"/>
    <w:rsid w:val="007E3D20"/>
    <w:rsid w:val="007F4C2F"/>
    <w:rsid w:val="00873BE6"/>
    <w:rsid w:val="00880C5B"/>
    <w:rsid w:val="00880D2F"/>
    <w:rsid w:val="008D138C"/>
    <w:rsid w:val="0092408C"/>
    <w:rsid w:val="00943B3B"/>
    <w:rsid w:val="00972E81"/>
    <w:rsid w:val="009809F4"/>
    <w:rsid w:val="00A10C5F"/>
    <w:rsid w:val="00A16833"/>
    <w:rsid w:val="00A25011"/>
    <w:rsid w:val="00A34333"/>
    <w:rsid w:val="00A3731A"/>
    <w:rsid w:val="00A860CE"/>
    <w:rsid w:val="00AA13D2"/>
    <w:rsid w:val="00AA3E31"/>
    <w:rsid w:val="00AD400C"/>
    <w:rsid w:val="00B12121"/>
    <w:rsid w:val="00B328D4"/>
    <w:rsid w:val="00B37CCE"/>
    <w:rsid w:val="00B55C8D"/>
    <w:rsid w:val="00B736ED"/>
    <w:rsid w:val="00B7661A"/>
    <w:rsid w:val="00BC05AF"/>
    <w:rsid w:val="00BE3D32"/>
    <w:rsid w:val="00C14DDD"/>
    <w:rsid w:val="00C24F0F"/>
    <w:rsid w:val="00C4582D"/>
    <w:rsid w:val="00C92243"/>
    <w:rsid w:val="00CF3712"/>
    <w:rsid w:val="00D03026"/>
    <w:rsid w:val="00D4686F"/>
    <w:rsid w:val="00D67B54"/>
    <w:rsid w:val="00DD72B7"/>
    <w:rsid w:val="00E21C27"/>
    <w:rsid w:val="00E332A4"/>
    <w:rsid w:val="00E55AA6"/>
    <w:rsid w:val="00EA0466"/>
    <w:rsid w:val="00EA1A6C"/>
    <w:rsid w:val="00EB5A84"/>
    <w:rsid w:val="00EC5656"/>
    <w:rsid w:val="00ED1A5C"/>
    <w:rsid w:val="00ED6443"/>
    <w:rsid w:val="00EE2236"/>
    <w:rsid w:val="00EE2DAF"/>
    <w:rsid w:val="00EF54EC"/>
    <w:rsid w:val="00F07A7F"/>
    <w:rsid w:val="00F4077F"/>
    <w:rsid w:val="00F47B6D"/>
    <w:rsid w:val="00F5182B"/>
    <w:rsid w:val="00F51CF6"/>
    <w:rsid w:val="00F53FE2"/>
    <w:rsid w:val="00F60B0E"/>
    <w:rsid w:val="00F63948"/>
    <w:rsid w:val="00F67A15"/>
    <w:rsid w:val="00F86D33"/>
    <w:rsid w:val="00FC142B"/>
    <w:rsid w:val="00FD3EEE"/>
    <w:rsid w:val="01B172D7"/>
    <w:rsid w:val="01CA1A79"/>
    <w:rsid w:val="01F96F34"/>
    <w:rsid w:val="024E74F6"/>
    <w:rsid w:val="02566493"/>
    <w:rsid w:val="026D5C3B"/>
    <w:rsid w:val="02A57365"/>
    <w:rsid w:val="03CD7EF4"/>
    <w:rsid w:val="03E27800"/>
    <w:rsid w:val="043B3ED9"/>
    <w:rsid w:val="04B96861"/>
    <w:rsid w:val="05EB081E"/>
    <w:rsid w:val="067907A7"/>
    <w:rsid w:val="06F07F7E"/>
    <w:rsid w:val="06F90FFA"/>
    <w:rsid w:val="07830ACB"/>
    <w:rsid w:val="07D17DB0"/>
    <w:rsid w:val="08D5567E"/>
    <w:rsid w:val="092774EF"/>
    <w:rsid w:val="093C5200"/>
    <w:rsid w:val="0A136D35"/>
    <w:rsid w:val="0C5E1C92"/>
    <w:rsid w:val="0C5E579E"/>
    <w:rsid w:val="0CD90B9D"/>
    <w:rsid w:val="0E552547"/>
    <w:rsid w:val="0E7476E7"/>
    <w:rsid w:val="0FCC7428"/>
    <w:rsid w:val="10046446"/>
    <w:rsid w:val="102D1F8D"/>
    <w:rsid w:val="10D30AD5"/>
    <w:rsid w:val="1112598F"/>
    <w:rsid w:val="113E0762"/>
    <w:rsid w:val="11C6025A"/>
    <w:rsid w:val="12A66FA1"/>
    <w:rsid w:val="12D26BC4"/>
    <w:rsid w:val="137D41F7"/>
    <w:rsid w:val="13BD3E54"/>
    <w:rsid w:val="14796923"/>
    <w:rsid w:val="14E87BEE"/>
    <w:rsid w:val="150733D9"/>
    <w:rsid w:val="158A77F0"/>
    <w:rsid w:val="17746151"/>
    <w:rsid w:val="17C76837"/>
    <w:rsid w:val="180B10BC"/>
    <w:rsid w:val="18553E55"/>
    <w:rsid w:val="187D188E"/>
    <w:rsid w:val="18D66DB0"/>
    <w:rsid w:val="196C40C9"/>
    <w:rsid w:val="19DD0836"/>
    <w:rsid w:val="1B6D022C"/>
    <w:rsid w:val="1BEF52C4"/>
    <w:rsid w:val="1C25555D"/>
    <w:rsid w:val="1C3B1F1C"/>
    <w:rsid w:val="1C3D7FF4"/>
    <w:rsid w:val="1DDF5150"/>
    <w:rsid w:val="1E150A2C"/>
    <w:rsid w:val="21AE218C"/>
    <w:rsid w:val="223E0747"/>
    <w:rsid w:val="22587113"/>
    <w:rsid w:val="22A266DE"/>
    <w:rsid w:val="22BA045E"/>
    <w:rsid w:val="22D368D8"/>
    <w:rsid w:val="23224386"/>
    <w:rsid w:val="23906919"/>
    <w:rsid w:val="23FA3D93"/>
    <w:rsid w:val="2416718D"/>
    <w:rsid w:val="24E80818"/>
    <w:rsid w:val="253256E9"/>
    <w:rsid w:val="25740E92"/>
    <w:rsid w:val="265A021C"/>
    <w:rsid w:val="268642F3"/>
    <w:rsid w:val="26B76168"/>
    <w:rsid w:val="270D1AB7"/>
    <w:rsid w:val="287A1946"/>
    <w:rsid w:val="28E23790"/>
    <w:rsid w:val="299D1A48"/>
    <w:rsid w:val="29DB3260"/>
    <w:rsid w:val="2A0C6B09"/>
    <w:rsid w:val="2A134705"/>
    <w:rsid w:val="2A7B7321"/>
    <w:rsid w:val="2AF43C32"/>
    <w:rsid w:val="2BA7738C"/>
    <w:rsid w:val="2BDF4725"/>
    <w:rsid w:val="2CF36A3F"/>
    <w:rsid w:val="2D0C0B5D"/>
    <w:rsid w:val="2D8C0151"/>
    <w:rsid w:val="2F674FC2"/>
    <w:rsid w:val="300F1FF9"/>
    <w:rsid w:val="303F6E9B"/>
    <w:rsid w:val="30566085"/>
    <w:rsid w:val="309061AB"/>
    <w:rsid w:val="30BC67E5"/>
    <w:rsid w:val="31A658E6"/>
    <w:rsid w:val="31CC7E4A"/>
    <w:rsid w:val="326A337C"/>
    <w:rsid w:val="327D0E4A"/>
    <w:rsid w:val="32D560F7"/>
    <w:rsid w:val="34AA5361"/>
    <w:rsid w:val="35134C92"/>
    <w:rsid w:val="3605253C"/>
    <w:rsid w:val="363E45D7"/>
    <w:rsid w:val="36B05734"/>
    <w:rsid w:val="38165565"/>
    <w:rsid w:val="3A691D31"/>
    <w:rsid w:val="3AB87F27"/>
    <w:rsid w:val="3B9B7585"/>
    <w:rsid w:val="3BA6683D"/>
    <w:rsid w:val="3DA319AD"/>
    <w:rsid w:val="3DB122E7"/>
    <w:rsid w:val="3E4217E5"/>
    <w:rsid w:val="3EA550CA"/>
    <w:rsid w:val="4006733E"/>
    <w:rsid w:val="40AC6FF2"/>
    <w:rsid w:val="40CE20FB"/>
    <w:rsid w:val="40F7128F"/>
    <w:rsid w:val="42992DE0"/>
    <w:rsid w:val="43317153"/>
    <w:rsid w:val="437C2E8C"/>
    <w:rsid w:val="439216E8"/>
    <w:rsid w:val="43AB4066"/>
    <w:rsid w:val="43D134B3"/>
    <w:rsid w:val="442962A2"/>
    <w:rsid w:val="44342243"/>
    <w:rsid w:val="44814E46"/>
    <w:rsid w:val="44C01547"/>
    <w:rsid w:val="45213A18"/>
    <w:rsid w:val="459F064A"/>
    <w:rsid w:val="462D37C9"/>
    <w:rsid w:val="470A110B"/>
    <w:rsid w:val="488C6ADC"/>
    <w:rsid w:val="490F180B"/>
    <w:rsid w:val="499E503D"/>
    <w:rsid w:val="4A92083C"/>
    <w:rsid w:val="4AAA17BF"/>
    <w:rsid w:val="4B0959E2"/>
    <w:rsid w:val="4BE8259F"/>
    <w:rsid w:val="4C170558"/>
    <w:rsid w:val="4C7C008C"/>
    <w:rsid w:val="4C8A5D4C"/>
    <w:rsid w:val="4D1B69A4"/>
    <w:rsid w:val="50FD6C87"/>
    <w:rsid w:val="521A722A"/>
    <w:rsid w:val="531C7838"/>
    <w:rsid w:val="534053B7"/>
    <w:rsid w:val="53774C4D"/>
    <w:rsid w:val="53EC68D0"/>
    <w:rsid w:val="546A7D01"/>
    <w:rsid w:val="55807741"/>
    <w:rsid w:val="55FE36B7"/>
    <w:rsid w:val="56C92575"/>
    <w:rsid w:val="577E1716"/>
    <w:rsid w:val="57C27A1D"/>
    <w:rsid w:val="580746F5"/>
    <w:rsid w:val="587A7F42"/>
    <w:rsid w:val="58A40196"/>
    <w:rsid w:val="594927E7"/>
    <w:rsid w:val="594E4D8F"/>
    <w:rsid w:val="59CC0B23"/>
    <w:rsid w:val="5A1D3D5C"/>
    <w:rsid w:val="5B4238B3"/>
    <w:rsid w:val="5D704F4C"/>
    <w:rsid w:val="5D714B64"/>
    <w:rsid w:val="5F3F4774"/>
    <w:rsid w:val="604F4E8B"/>
    <w:rsid w:val="60A923F3"/>
    <w:rsid w:val="61397812"/>
    <w:rsid w:val="62623A6B"/>
    <w:rsid w:val="662C12B2"/>
    <w:rsid w:val="664001ED"/>
    <w:rsid w:val="665030C4"/>
    <w:rsid w:val="66907302"/>
    <w:rsid w:val="67C658D2"/>
    <w:rsid w:val="69496543"/>
    <w:rsid w:val="6B092BF0"/>
    <w:rsid w:val="6B264A3A"/>
    <w:rsid w:val="6B5430AF"/>
    <w:rsid w:val="6C4A33DF"/>
    <w:rsid w:val="6C68589C"/>
    <w:rsid w:val="6C811E21"/>
    <w:rsid w:val="6E2E43D5"/>
    <w:rsid w:val="6EC7750E"/>
    <w:rsid w:val="6FF85C4A"/>
    <w:rsid w:val="72211D43"/>
    <w:rsid w:val="722F393D"/>
    <w:rsid w:val="73005B71"/>
    <w:rsid w:val="740851E0"/>
    <w:rsid w:val="747D1B7D"/>
    <w:rsid w:val="74AC5DFA"/>
    <w:rsid w:val="74F205F2"/>
    <w:rsid w:val="755727FB"/>
    <w:rsid w:val="765673B1"/>
    <w:rsid w:val="777C59E3"/>
    <w:rsid w:val="78805490"/>
    <w:rsid w:val="78B05378"/>
    <w:rsid w:val="79481D63"/>
    <w:rsid w:val="79587C6F"/>
    <w:rsid w:val="79652BD2"/>
    <w:rsid w:val="7B4E7DC1"/>
    <w:rsid w:val="7B817AF6"/>
    <w:rsid w:val="7BAC3BA5"/>
    <w:rsid w:val="7C576EA1"/>
    <w:rsid w:val="7CBF5CDA"/>
    <w:rsid w:val="7D910439"/>
    <w:rsid w:val="7E74194A"/>
    <w:rsid w:val="7EAD7CC1"/>
    <w:rsid w:val="7EAE4115"/>
    <w:rsid w:val="7ECB1EA2"/>
    <w:rsid w:val="7EFB2FC8"/>
    <w:rsid w:val="7F6E1890"/>
    <w:rsid w:val="7F945DB7"/>
    <w:rsid w:val="7FF54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b/>
      <w:bCs/>
      <w:sz w:val="32"/>
      <w:szCs w:val="32"/>
    </w:rPr>
  </w:style>
  <w:style w:type="paragraph" w:styleId="3">
    <w:name w:val="heading 4"/>
    <w:basedOn w:val="1"/>
    <w:next w:val="1"/>
    <w:autoRedefine/>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23"/>
    <w:autoRedefine/>
    <w:qFormat/>
    <w:uiPriority w:val="0"/>
    <w:pPr>
      <w:jc w:val="left"/>
    </w:pPr>
  </w:style>
  <w:style w:type="paragraph" w:styleId="5">
    <w:name w:val="Body Text Indent"/>
    <w:basedOn w:val="1"/>
    <w:autoRedefine/>
    <w:qFormat/>
    <w:uiPriority w:val="0"/>
    <w:pPr>
      <w:spacing w:line="360" w:lineRule="exact"/>
      <w:ind w:firstLine="435"/>
    </w:p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4"/>
    <w:autoRedefine/>
    <w:qFormat/>
    <w:uiPriority w:val="0"/>
    <w:rPr>
      <w:b/>
      <w:bCs/>
    </w:rPr>
  </w:style>
  <w:style w:type="table" w:styleId="11">
    <w:name w:val="Table Grid"/>
    <w:basedOn w:val="1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autoRedefine/>
    <w:qFormat/>
    <w:uiPriority w:val="0"/>
  </w:style>
  <w:style w:type="character" w:styleId="14">
    <w:name w:val="annotation reference"/>
    <w:basedOn w:val="12"/>
    <w:autoRedefine/>
    <w:qFormat/>
    <w:uiPriority w:val="0"/>
    <w:rPr>
      <w:sz w:val="21"/>
      <w:szCs w:val="21"/>
    </w:rPr>
  </w:style>
  <w:style w:type="paragraph" w:customStyle="1" w:styleId="15">
    <w:name w:val="K&amp;W Body text"/>
    <w:basedOn w:val="1"/>
    <w:autoRedefine/>
    <w:qFormat/>
    <w:uiPriority w:val="0"/>
    <w:pPr>
      <w:widowControl/>
      <w:spacing w:after="360" w:line="320" w:lineRule="atLeast"/>
      <w:ind w:firstLine="567"/>
    </w:pPr>
    <w:rPr>
      <w:rFonts w:ascii="Arial" w:hAnsi="Arial" w:eastAsia="楷体_GB2312" w:cs="Times New Roman"/>
      <w:kern w:val="0"/>
      <w:sz w:val="24"/>
      <w:szCs w:val="20"/>
      <w:lang w:eastAsia="en-US"/>
    </w:rPr>
  </w:style>
  <w:style w:type="paragraph" w:customStyle="1" w:styleId="16">
    <w:name w:val="K&amp;W heading 2"/>
    <w:basedOn w:val="17"/>
    <w:autoRedefine/>
    <w:qFormat/>
    <w:uiPriority w:val="0"/>
    <w:pPr>
      <w:widowControl w:val="0"/>
      <w:tabs>
        <w:tab w:val="left" w:pos="1419"/>
      </w:tabs>
      <w:spacing w:line="320" w:lineRule="exact"/>
      <w:ind w:left="1320" w:hanging="420"/>
      <w:outlineLvl w:val="1"/>
    </w:pPr>
    <w:rPr>
      <w:color w:val="auto"/>
    </w:rPr>
  </w:style>
  <w:style w:type="paragraph" w:customStyle="1" w:styleId="17">
    <w:name w:val="K&amp;W Normal"/>
    <w:autoRedefine/>
    <w:qFormat/>
    <w:uiPriority w:val="0"/>
    <w:pPr>
      <w:spacing w:after="360" w:line="320" w:lineRule="atLeast"/>
      <w:jc w:val="both"/>
    </w:pPr>
    <w:rPr>
      <w:rFonts w:ascii="Arial" w:hAnsi="Arial" w:eastAsia="楷体_GB2312" w:cs="Times New Roman"/>
      <w:color w:val="000000"/>
      <w:sz w:val="24"/>
      <w:lang w:val="en-US" w:eastAsia="en-US" w:bidi="ar-SA"/>
    </w:rPr>
  </w:style>
  <w:style w:type="paragraph" w:customStyle="1" w:styleId="18">
    <w:name w:val="K&amp;W heading 3"/>
    <w:basedOn w:val="17"/>
    <w:autoRedefine/>
    <w:qFormat/>
    <w:uiPriority w:val="0"/>
    <w:pPr>
      <w:tabs>
        <w:tab w:val="left" w:pos="1845"/>
      </w:tabs>
      <w:spacing w:line="320" w:lineRule="exact"/>
      <w:ind w:left="1740" w:hanging="420"/>
      <w:outlineLvl w:val="2"/>
    </w:pPr>
    <w:rPr>
      <w:color w:val="auto"/>
    </w:rPr>
  </w:style>
  <w:style w:type="paragraph" w:customStyle="1" w:styleId="19">
    <w:name w:val="K&amp;W heading 1"/>
    <w:basedOn w:val="17"/>
    <w:next w:val="16"/>
    <w:autoRedefine/>
    <w:qFormat/>
    <w:uiPriority w:val="0"/>
    <w:pPr>
      <w:widowControl w:val="0"/>
      <w:tabs>
        <w:tab w:val="left" w:pos="851"/>
      </w:tabs>
      <w:spacing w:line="320" w:lineRule="exact"/>
      <w:ind w:left="900" w:hanging="420"/>
      <w:outlineLvl w:val="0"/>
    </w:pPr>
    <w:rPr>
      <w:b/>
      <w:color w:val="auto"/>
      <w:sz w:val="28"/>
    </w:rPr>
  </w:style>
  <w:style w:type="paragraph" w:styleId="20">
    <w:name w:val="List Paragraph"/>
    <w:basedOn w:val="1"/>
    <w:autoRedefine/>
    <w:qFormat/>
    <w:uiPriority w:val="34"/>
    <w:pPr>
      <w:ind w:firstLine="420" w:firstLineChars="200"/>
    </w:pPr>
  </w:style>
  <w:style w:type="character" w:customStyle="1" w:styleId="21">
    <w:name w:val="样式4"/>
    <w:basedOn w:val="12"/>
    <w:autoRedefine/>
    <w:qFormat/>
    <w:uiPriority w:val="1"/>
    <w:rPr>
      <w:b/>
    </w:rPr>
  </w:style>
  <w:style w:type="paragraph" w:customStyle="1" w:styleId="2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3">
    <w:name w:val="批注文字 字符"/>
    <w:basedOn w:val="12"/>
    <w:link w:val="4"/>
    <w:autoRedefine/>
    <w:qFormat/>
    <w:uiPriority w:val="0"/>
    <w:rPr>
      <w:rFonts w:asciiTheme="minorHAnsi" w:hAnsiTheme="minorHAnsi" w:eastAsiaTheme="minorEastAsia" w:cstheme="minorBidi"/>
      <w:kern w:val="2"/>
      <w:sz w:val="21"/>
      <w:szCs w:val="22"/>
    </w:rPr>
  </w:style>
  <w:style w:type="character" w:customStyle="1" w:styleId="24">
    <w:name w:val="批注主题 字符"/>
    <w:basedOn w:val="23"/>
    <w:link w:val="9"/>
    <w:autoRedefine/>
    <w:qFormat/>
    <w:uiPriority w:val="0"/>
    <w:rPr>
      <w:rFonts w:asciiTheme="minorHAnsi" w:hAnsiTheme="minorHAnsi" w:eastAsiaTheme="minorEastAsia" w:cstheme="minorBidi"/>
      <w:b/>
      <w:bCs/>
      <w:kern w:val="2"/>
      <w:sz w:val="21"/>
      <w:szCs w:val="22"/>
    </w:rPr>
  </w:style>
  <w:style w:type="paragraph" w:customStyle="1" w:styleId="25">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character" w:styleId="26">
    <w:name w:val="Placeholder Text"/>
    <w:basedOn w:val="12"/>
    <w:autoRedefine/>
    <w:semiHidden/>
    <w:qFormat/>
    <w:uiPriority w:val="99"/>
    <w:rPr>
      <w:color w:val="808080"/>
    </w:rPr>
  </w:style>
  <w:style w:type="paragraph" w:customStyle="1" w:styleId="27">
    <w:name w:val="msonormal 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Words>1504</Words>
  <Characters>8574</Characters>
  <Lines>71</Lines>
  <Paragraphs>20</Paragraphs>
  <TotalTime>5</TotalTime>
  <ScaleCrop>false</ScaleCrop>
  <LinksUpToDate>false</LinksUpToDate>
  <CharactersWithSpaces>10058</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2022-06-06T02:27:00Z</dcterms:created>
  <dc:creator>liaoz</dc:creator>
  <cp:lastModifiedBy>竹子</cp:lastModifiedBy>
  <dcterms:modified xsi:type="dcterms:W3CDTF">2024-03-21T02:35:33Z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DB3C5CA3D1604C88BC35D350E8704DAE</vt:lpwstr>
  </property>
</Properties>
</file>