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pPr>
              <w:spacing w:line="360" w:lineRule="auto"/>
              <w:jc w:val="center"/>
              <w:rPr>
                <w:rFonts w:ascii="宋体" w:hAnsi="宋体"/>
              </w:rPr>
            </w:pPr>
            <w:r>
              <w:rPr>
                <w:rFonts w:hint="eastAsia" w:ascii="宋体" w:hAnsi="宋体"/>
              </w:rPr>
              <w:t>内容</w:t>
            </w:r>
          </w:p>
        </w:tc>
        <w:tc>
          <w:tcPr>
            <w:tcW w:w="6802" w:type="dxa"/>
            <w:vAlign w:val="center"/>
          </w:tcPr>
          <w:p>
            <w:pPr>
              <w:spacing w:line="360" w:lineRule="auto"/>
              <w:jc w:val="center"/>
              <w:rPr>
                <w:rFonts w:ascii="宋体" w:hAnsi="宋体"/>
              </w:rPr>
            </w:pPr>
            <w:r>
              <w:rPr>
                <w:rFonts w:hint="eastAsia" w:ascii="宋体" w:hAnsi="宋体"/>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企业规模实力</w:t>
            </w:r>
          </w:p>
        </w:tc>
        <w:tc>
          <w:tcPr>
            <w:tcW w:w="6802" w:type="dxa"/>
            <w:vAlign w:val="center"/>
          </w:tcPr>
          <w:p>
            <w:pPr>
              <w:spacing w:line="320" w:lineRule="exact"/>
              <w:ind w:left="0" w:leftChars="0" w:firstLine="0" w:firstLineChars="0"/>
              <w:rPr>
                <w:rFonts w:ascii="宋体" w:hAnsi="宋体"/>
                <w:highlight w:val="none"/>
              </w:rPr>
            </w:pPr>
            <w:r>
              <w:rPr>
                <w:rFonts w:hint="eastAsia" w:ascii="宋体" w:hAnsi="宋体"/>
                <w:color w:val="auto"/>
                <w:highlight w:val="none"/>
              </w:rPr>
              <w:t>企业注册资本不低于人民币</w:t>
            </w:r>
            <w:r>
              <w:rPr>
                <w:rFonts w:hint="eastAsia" w:ascii="宋体" w:hAnsi="宋体"/>
                <w:color w:val="auto"/>
                <w:highlight w:val="none"/>
                <w:lang w:val="en-US" w:eastAsia="zh-CN"/>
              </w:rPr>
              <w:t>20</w:t>
            </w:r>
            <w:r>
              <w:rPr>
                <w:rFonts w:hint="eastAsia" w:ascii="宋体" w:hAnsi="宋体"/>
                <w:color w:val="auto"/>
                <w:highlight w:val="none"/>
              </w:rPr>
              <w:t>00万元且实缴资本不低于</w:t>
            </w:r>
            <w:r>
              <w:rPr>
                <w:rFonts w:hint="eastAsia" w:ascii="宋体" w:hAnsi="宋体"/>
                <w:color w:val="auto"/>
                <w:highlight w:val="none"/>
                <w:lang w:val="en-US" w:eastAsia="zh-CN"/>
              </w:rPr>
              <w:t>10</w:t>
            </w:r>
            <w:r>
              <w:rPr>
                <w:rFonts w:hint="eastAsia" w:ascii="宋体" w:hAnsi="宋体"/>
                <w:color w:val="auto"/>
                <w:highlight w:val="none"/>
              </w:rPr>
              <w:t>00万元。【提供实缴资本证明复印件或扫描件】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4</w:t>
            </w:r>
          </w:p>
        </w:tc>
        <w:tc>
          <w:tcPr>
            <w:tcW w:w="2126" w:type="dxa"/>
            <w:vAlign w:val="center"/>
          </w:tcPr>
          <w:p>
            <w:pPr>
              <w:spacing w:line="320" w:lineRule="exact"/>
              <w:ind w:left="0" w:leftChars="0" w:firstLine="0" w:firstLineChars="0"/>
              <w:rPr>
                <w:rFonts w:ascii="微软雅黑" w:hAnsi="微软雅黑" w:eastAsia="微软雅黑"/>
                <w:highlight w:val="none"/>
                <w:shd w:val="clear" w:color="auto" w:fill="FFFFFF"/>
              </w:rPr>
            </w:pPr>
            <w:r>
              <w:rPr>
                <w:rFonts w:hint="eastAsia" w:ascii="微软雅黑" w:hAnsi="微软雅黑" w:eastAsia="微软雅黑"/>
                <w:highlight w:val="none"/>
                <w:shd w:val="clear" w:color="auto" w:fill="FFFFFF"/>
              </w:rPr>
              <w:t>企业资质</w:t>
            </w:r>
          </w:p>
        </w:tc>
        <w:tc>
          <w:tcPr>
            <w:tcW w:w="6802" w:type="dxa"/>
            <w:vAlign w:val="center"/>
          </w:tcPr>
          <w:p>
            <w:pPr>
              <w:spacing w:line="320" w:lineRule="exact"/>
              <w:ind w:left="0" w:leftChars="0" w:firstLine="0" w:firstLineChars="0"/>
              <w:rPr>
                <w:rFonts w:ascii="宋体" w:hAnsi="宋体"/>
                <w:highlight w:val="none"/>
              </w:rPr>
            </w:pPr>
            <w:r>
              <w:rPr>
                <w:rFonts w:hint="eastAsia" w:ascii="宋体" w:hAnsi="宋体"/>
                <w:highlight w:val="none"/>
              </w:rPr>
              <w:t>建筑工程施工总承包</w:t>
            </w:r>
            <w:r>
              <w:rPr>
                <w:rFonts w:hint="eastAsia" w:ascii="宋体" w:hAnsi="宋体"/>
                <w:highlight w:val="none"/>
                <w:lang w:val="en-US" w:eastAsia="zh-CN"/>
              </w:rPr>
              <w:t>二</w:t>
            </w:r>
            <w:r>
              <w:rPr>
                <w:rFonts w:hint="eastAsia" w:ascii="宋体" w:hAnsi="宋体"/>
                <w:highlight w:val="none"/>
              </w:rPr>
              <w:t>级及以上资质；同时具备建设行政主管部门颁发的有效的安全生产许可证。【提供资质证书复印件或扫描件】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5</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pPr>
              <w:spacing w:line="320" w:lineRule="exact"/>
              <w:ind w:left="0" w:leftChars="0" w:firstLine="0" w:firstLineChars="0"/>
              <w:rPr>
                <w:rFonts w:ascii="宋体" w:hAnsi="宋体"/>
              </w:rPr>
            </w:pPr>
            <w:r>
              <w:rPr>
                <w:rFonts w:hint="eastAsia" w:ascii="宋体" w:hAnsi="宋体"/>
              </w:rPr>
              <w:t>财务状况良好，近3年平均无亏损。【提供近202</w:t>
            </w:r>
            <w:r>
              <w:rPr>
                <w:rFonts w:hint="eastAsia" w:ascii="宋体" w:hAnsi="宋体"/>
                <w:lang w:val="en-US" w:eastAsia="zh-CN"/>
              </w:rPr>
              <w:t>1</w:t>
            </w:r>
            <w:r>
              <w:rPr>
                <w:rFonts w:hint="eastAsia" w:ascii="宋体" w:hAnsi="宋体"/>
              </w:rPr>
              <w:t>-202</w:t>
            </w:r>
            <w:r>
              <w:rPr>
                <w:rFonts w:hint="eastAsia" w:ascii="宋体" w:hAnsi="宋体"/>
                <w:lang w:val="en-US" w:eastAsia="zh-CN"/>
              </w:rPr>
              <w:t>3</w:t>
            </w:r>
            <w:r>
              <w:rPr>
                <w:rFonts w:hint="eastAsia" w:ascii="宋体" w:hAnsi="宋体"/>
              </w:rPr>
              <w:t>年的财务报表（资产负债表、现金流量表、利润表）及第三方会计师事务所年度审计报告】。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6</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7</w:t>
            </w:r>
          </w:p>
        </w:tc>
        <w:tc>
          <w:tcPr>
            <w:tcW w:w="2126" w:type="dxa"/>
            <w:vAlign w:val="center"/>
          </w:tcPr>
          <w:p>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pPr>
              <w:spacing w:line="320" w:lineRule="exact"/>
              <w:ind w:left="0" w:leftChars="0" w:firstLine="0" w:firstLineChars="0"/>
              <w:rPr>
                <w:rFonts w:hint="eastAsia" w:ascii="宋体" w:hAnsi="宋体"/>
              </w:rPr>
            </w:pPr>
            <w:r>
              <w:rPr>
                <w:rFonts w:hint="eastAsia" w:ascii="宋体" w:hAnsi="宋体"/>
              </w:rPr>
              <w:t>（1）项目经理1人：投标人拟派的项目经理必须已在投标人本单位注册并应具有建筑工程类</w:t>
            </w:r>
            <w:r>
              <w:rPr>
                <w:rFonts w:hint="eastAsia" w:ascii="宋体" w:hAnsi="宋体"/>
                <w:lang w:val="en-US" w:eastAsia="zh-CN"/>
              </w:rPr>
              <w:t>二</w:t>
            </w:r>
            <w:r>
              <w:rPr>
                <w:rFonts w:hint="eastAsia" w:ascii="宋体" w:hAnsi="宋体"/>
              </w:rPr>
              <w:t>级</w:t>
            </w:r>
            <w:r>
              <w:rPr>
                <w:rFonts w:hint="eastAsia" w:ascii="宋体" w:hAnsi="宋体"/>
                <w:lang w:val="en-US" w:eastAsia="zh-CN"/>
              </w:rPr>
              <w:t>及以上</w:t>
            </w:r>
            <w:r>
              <w:rPr>
                <w:rFonts w:hint="eastAsia" w:ascii="宋体" w:hAnsi="宋体"/>
              </w:rPr>
              <w:t>注册建造师执业资格，应为投标人本单位人员，拟派项目经理中标后不得随意更换。【投标人须在投标文件资格审查部分提供拟派项目经理建造师注册证、身份证、投标人本单位为其缴纳的养老保险证明材料复印件（投标截止日前连续6个月）】。</w:t>
            </w:r>
          </w:p>
          <w:p>
            <w:pPr>
              <w:spacing w:line="320" w:lineRule="exact"/>
              <w:ind w:left="0" w:leftChars="0" w:firstLine="0" w:firstLineChars="0"/>
              <w:rPr>
                <w:rFonts w:ascii="宋体" w:hAnsi="宋体"/>
              </w:rPr>
            </w:pPr>
            <w:r>
              <w:rPr>
                <w:rFonts w:hint="eastAsia" w:ascii="宋体" w:hAnsi="宋体"/>
              </w:rPr>
              <w:t>（</w:t>
            </w:r>
            <w:r>
              <w:rPr>
                <w:rFonts w:hint="eastAsia" w:ascii="宋体" w:hAnsi="宋体"/>
                <w:lang w:val="en-US" w:eastAsia="zh-CN"/>
              </w:rPr>
              <w:t>2</w:t>
            </w:r>
            <w:r>
              <w:rPr>
                <w:rFonts w:hint="eastAsia" w:ascii="宋体" w:hAnsi="宋体"/>
              </w:rPr>
              <w:t>）主要管理人员：技术负责人（中级职称以上）、施工员、安全员</w:t>
            </w:r>
            <w:r>
              <w:rPr>
                <w:rFonts w:hint="eastAsia" w:ascii="宋体" w:hAnsi="宋体"/>
                <w:lang w:eastAsia="zh-CN"/>
              </w:rPr>
              <w:t>、</w:t>
            </w:r>
            <w:r>
              <w:rPr>
                <w:rFonts w:hint="eastAsia" w:ascii="宋体" w:hAnsi="宋体"/>
                <w:lang w:val="en-US" w:eastAsia="zh-CN"/>
              </w:rPr>
              <w:t>资料员、造价员</w:t>
            </w:r>
            <w:r>
              <w:rPr>
                <w:rFonts w:hint="eastAsia" w:ascii="宋体" w:hAnsi="宋体"/>
              </w:rPr>
              <w:t>应具备从业资格证书，相应资质在有效期内</w:t>
            </w:r>
            <w:r>
              <w:rPr>
                <w:rFonts w:hint="eastAsia" w:ascii="宋体" w:hAnsi="宋体"/>
                <w:lang w:val="en-US" w:eastAsia="zh-CN"/>
              </w:rPr>
              <w:t>。</w:t>
            </w:r>
            <w:r>
              <w:rPr>
                <w:rFonts w:hint="eastAsia" w:ascii="宋体" w:hAnsi="宋体"/>
              </w:rPr>
              <w:t>【提供有效的资格证书副本复印件、岗位证书复印件、养老保险证明复印件（标截止日前连续6个月），加盖企业鲜章】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8</w:t>
            </w:r>
          </w:p>
        </w:tc>
        <w:tc>
          <w:tcPr>
            <w:tcW w:w="2126" w:type="dxa"/>
            <w:vAlign w:val="center"/>
          </w:tcPr>
          <w:p>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pPr>
              <w:spacing w:line="320" w:lineRule="exact"/>
              <w:ind w:left="0" w:leftChars="0" w:firstLine="0" w:firstLineChars="0"/>
            </w:pPr>
            <w:r>
              <w:rPr>
                <w:rFonts w:hint="eastAsia" w:ascii="宋体" w:hAnsi="宋体"/>
                <w:lang w:val="en-US" w:eastAsia="zh-CN"/>
              </w:rPr>
              <w:t>2019</w:t>
            </w:r>
            <w:r>
              <w:rPr>
                <w:rFonts w:hint="eastAsia" w:ascii="宋体" w:hAnsi="宋体"/>
              </w:rPr>
              <w:t>年1月1日至今，投标人至少承担过</w:t>
            </w:r>
            <w:r>
              <w:rPr>
                <w:rFonts w:hint="eastAsia" w:ascii="宋体" w:hAnsi="宋体"/>
                <w:lang w:val="en-US" w:eastAsia="zh-CN"/>
              </w:rPr>
              <w:t>1</w:t>
            </w:r>
            <w:r>
              <w:rPr>
                <w:rFonts w:hint="eastAsia" w:ascii="宋体" w:hAnsi="宋体"/>
              </w:rPr>
              <w:t>个</w:t>
            </w:r>
            <w:r>
              <w:rPr>
                <w:rFonts w:hint="eastAsia" w:ascii="宋体" w:hAnsi="宋体"/>
                <w:lang w:val="en-US" w:eastAsia="zh-CN"/>
              </w:rPr>
              <w:t>类似维修工程项目</w:t>
            </w:r>
            <w:r>
              <w:rPr>
                <w:rFonts w:hint="eastAsia" w:ascii="宋体" w:hAnsi="宋体"/>
              </w:rPr>
              <w:t>业绩。【提供业绩项目中标通知书</w:t>
            </w:r>
            <w:r>
              <w:rPr>
                <w:rFonts w:hint="eastAsia" w:ascii="宋体" w:hAnsi="宋体"/>
                <w:lang w:eastAsia="zh-CN"/>
              </w:rPr>
              <w:t>（</w:t>
            </w:r>
            <w:r>
              <w:rPr>
                <w:rFonts w:hint="eastAsia" w:ascii="宋体" w:hAnsi="宋体"/>
                <w:lang w:val="en-US" w:eastAsia="zh-CN"/>
              </w:rPr>
              <w:t>若有</w:t>
            </w:r>
            <w:r>
              <w:rPr>
                <w:rFonts w:hint="eastAsia" w:ascii="宋体" w:hAnsi="宋体"/>
                <w:lang w:eastAsia="zh-CN"/>
              </w:rPr>
              <w:t>）</w:t>
            </w:r>
            <w:r>
              <w:rPr>
                <w:rFonts w:hint="eastAsia" w:ascii="宋体" w:hAnsi="宋体"/>
              </w:rPr>
              <w:t>、合同书（施工范围、金额、时间可见）</w:t>
            </w:r>
            <w:r>
              <w:rPr>
                <w:rFonts w:hint="eastAsia" w:ascii="宋体" w:hAnsi="宋体"/>
                <w:lang w:eastAsia="zh-CN"/>
              </w:rPr>
              <w:t>、</w:t>
            </w:r>
            <w:r>
              <w:rPr>
                <w:rFonts w:hint="eastAsia" w:ascii="宋体" w:hAnsi="宋体"/>
              </w:rPr>
              <w:t>竣工验收</w:t>
            </w:r>
            <w:r>
              <w:rPr>
                <w:rFonts w:hint="eastAsia" w:ascii="宋体" w:hAnsi="宋体"/>
                <w:lang w:eastAsia="zh-CN"/>
              </w:rPr>
              <w:t>（</w:t>
            </w:r>
            <w:r>
              <w:rPr>
                <w:rFonts w:hint="eastAsia" w:ascii="宋体" w:hAnsi="宋体"/>
                <w:lang w:val="en-US" w:eastAsia="zh-CN"/>
              </w:rPr>
              <w:t>若有</w:t>
            </w:r>
            <w:r>
              <w:rPr>
                <w:rFonts w:hint="eastAsia" w:ascii="宋体" w:hAnsi="宋体"/>
                <w:lang w:eastAsia="zh-CN"/>
              </w:rPr>
              <w:t>）</w:t>
            </w:r>
            <w:r>
              <w:rPr>
                <w:rFonts w:hint="eastAsia" w:ascii="宋体" w:hAnsi="宋体"/>
                <w:lang w:val="en-US" w:eastAsia="zh-CN"/>
              </w:rPr>
              <w:t>、</w:t>
            </w:r>
            <w:r>
              <w:rPr>
                <w:rFonts w:hint="eastAsia" w:ascii="宋体" w:hAnsi="宋体"/>
              </w:rPr>
              <w:t>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9</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ind w:left="0" w:leftChars="0" w:firstLine="0" w:firstLineChars="0"/>
              <w:jc w:val="center"/>
              <w:rPr>
                <w:rFonts w:hint="default" w:ascii="宋体" w:hAnsi="宋体" w:eastAsia="宋体"/>
                <w:lang w:val="en-US" w:eastAsia="zh-CN"/>
              </w:rPr>
            </w:pPr>
            <w:r>
              <w:rPr>
                <w:rFonts w:hint="eastAsia" w:ascii="宋体" w:hAnsi="宋体"/>
                <w:lang w:val="en-US" w:eastAsia="zh-CN"/>
              </w:rPr>
              <w:t>10</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ind w:left="480" w:leftChars="-2" w:hanging="484" w:hangingChars="202"/>
        <w:rPr>
          <w:rFonts w:ascii="等线" w:hAnsi="等线" w:eastAsia="等线" w:cs="等线"/>
          <w:sz w:val="24"/>
        </w:rPr>
      </w:pPr>
    </w:p>
    <w:p>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pPr>
        <w:spacing w:line="360" w:lineRule="exact"/>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pPr>
        <w:spacing w:line="360" w:lineRule="exact"/>
        <w:ind w:left="420" w:leftChars="198" w:hanging="4" w:hangingChars="2"/>
        <w:jc w:val="left"/>
      </w:pPr>
      <w:r>
        <w:rPr>
          <w:rFonts w:hint="eastAsia" w:ascii="等线" w:hAnsi="等线" w:eastAsia="等线" w:cs="等线"/>
          <w:szCs w:val="21"/>
        </w:rPr>
        <w:t>3、除《附件一》中要求提供的文件外，可以另外提供投标人认为有必要的其他资质文件。</w:t>
      </w:r>
    </w:p>
    <w:p>
      <w:pPr>
        <w:adjustRightInd w:val="0"/>
        <w:snapToGrid w:val="0"/>
        <w:spacing w:line="360" w:lineRule="auto"/>
        <w:jc w:val="left"/>
        <w:rPr>
          <w:rFonts w:hint="default" w:ascii="仿宋" w:hAnsi="仿宋" w:eastAsia="仿宋"/>
          <w:sz w:val="32"/>
          <w:szCs w:val="32"/>
          <w:lang w:val="en-US" w:eastAsia="zh-CN"/>
        </w:rPr>
      </w:pPr>
      <w:r>
        <w:rPr>
          <w:rFonts w:hint="eastAsia" w:ascii="仿宋" w:hAnsi="仿宋" w:eastAsia="仿宋"/>
          <w:sz w:val="32"/>
          <w:szCs w:val="32"/>
          <w:lang w:val="en-US" w:eastAsia="zh-CN"/>
        </w:rPr>
        <w:t>附件二</w:t>
      </w:r>
      <w:bookmarkStart w:id="38" w:name="_GoBack"/>
      <w:bookmarkEnd w:id="38"/>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footerReference r:id="rId5"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6"/>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10</w:t>
      </w:r>
      <w:r>
        <w:fldChar w:fldCharType="end"/>
      </w:r>
      <w:r>
        <w:fldChar w:fldCharType="end"/>
      </w:r>
    </w:p>
    <w:p>
      <w:pPr>
        <w:pStyle w:val="6"/>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11</w:t>
      </w:r>
      <w:r>
        <w:fldChar w:fldCharType="end"/>
      </w:r>
      <w:r>
        <w:fldChar w:fldCharType="end"/>
      </w:r>
    </w:p>
    <w:p>
      <w:pPr>
        <w:pStyle w:val="6"/>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11</w:t>
      </w:r>
      <w:r>
        <w:fldChar w:fldCharType="end"/>
      </w:r>
      <w:r>
        <w:fldChar w:fldCharType="end"/>
      </w:r>
    </w:p>
    <w:p>
      <w:pPr>
        <w:pStyle w:val="6"/>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11</w:t>
      </w:r>
      <w:r>
        <w:fldChar w:fldCharType="end"/>
      </w:r>
      <w:r>
        <w:fldChar w:fldCharType="end"/>
      </w:r>
    </w:p>
    <w:p>
      <w:pPr>
        <w:pStyle w:val="6"/>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11</w:t>
      </w:r>
      <w:r>
        <w:fldChar w:fldCharType="end"/>
      </w:r>
      <w:r>
        <w:fldChar w:fldCharType="end"/>
      </w:r>
    </w:p>
    <w:p>
      <w:pPr>
        <w:pStyle w:val="6"/>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13</w:t>
      </w:r>
      <w:r>
        <w:fldChar w:fldCharType="end"/>
      </w:r>
      <w:r>
        <w:fldChar w:fldCharType="end"/>
      </w:r>
    </w:p>
    <w:p>
      <w:pPr>
        <w:pStyle w:val="6"/>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13</w:t>
      </w:r>
      <w:r>
        <w:fldChar w:fldCharType="end"/>
      </w:r>
      <w:r>
        <w:fldChar w:fldCharType="end"/>
      </w:r>
    </w:p>
    <w:p>
      <w:pPr>
        <w:pStyle w:val="6"/>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13</w:t>
      </w:r>
      <w:r>
        <w:fldChar w:fldCharType="end"/>
      </w:r>
      <w:r>
        <w:fldChar w:fldCharType="end"/>
      </w:r>
    </w:p>
    <w:p>
      <w:pPr>
        <w:pStyle w:val="6"/>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14</w:t>
      </w:r>
      <w:r>
        <w:fldChar w:fldCharType="end"/>
      </w:r>
      <w:r>
        <w:fldChar w:fldCharType="end"/>
      </w:r>
    </w:p>
    <w:p>
      <w:pPr>
        <w:pStyle w:val="6"/>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15</w:t>
      </w:r>
      <w:r>
        <w:fldChar w:fldCharType="end"/>
      </w:r>
      <w:r>
        <w:fldChar w:fldCharType="end"/>
      </w:r>
    </w:p>
    <w:p>
      <w:pPr>
        <w:pStyle w:val="6"/>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15</w:t>
      </w:r>
      <w:r>
        <w:fldChar w:fldCharType="end"/>
      </w:r>
      <w:r>
        <w:fldChar w:fldCharType="end"/>
      </w:r>
    </w:p>
    <w:p>
      <w:pPr>
        <w:pStyle w:val="6"/>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17</w:t>
      </w:r>
      <w:r>
        <w:fldChar w:fldCharType="end"/>
      </w:r>
      <w:r>
        <w:fldChar w:fldCharType="end"/>
      </w:r>
    </w:p>
    <w:p>
      <w:pPr>
        <w:pStyle w:val="6"/>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18</w:t>
      </w:r>
      <w:r>
        <w:fldChar w:fldCharType="end"/>
      </w:r>
      <w:r>
        <w:fldChar w:fldCharType="end"/>
      </w:r>
    </w:p>
    <w:p>
      <w:pPr>
        <w:pStyle w:val="6"/>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18</w:t>
      </w:r>
      <w:r>
        <w:fldChar w:fldCharType="end"/>
      </w:r>
      <w:r>
        <w:fldChar w:fldCharType="end"/>
      </w:r>
    </w:p>
    <w:p>
      <w:pPr>
        <w:pStyle w:val="6"/>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18</w:t>
      </w:r>
      <w:r>
        <w:fldChar w:fldCharType="end"/>
      </w:r>
      <w:r>
        <w:fldChar w:fldCharType="end"/>
      </w:r>
    </w:p>
    <w:p>
      <w:pPr>
        <w:pStyle w:val="6"/>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18</w:t>
      </w:r>
      <w:r>
        <w:fldChar w:fldCharType="end"/>
      </w:r>
      <w:r>
        <w:fldChar w:fldCharType="end"/>
      </w:r>
    </w:p>
    <w:p>
      <w:pPr>
        <w:pStyle w:val="6"/>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21</w:t>
      </w:r>
      <w:r>
        <w:fldChar w:fldCharType="end"/>
      </w:r>
      <w:r>
        <w:fldChar w:fldCharType="end"/>
      </w:r>
    </w:p>
    <w:p>
      <w:pPr>
        <w:pStyle w:val="3"/>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pPr>
        <w:pStyle w:val="10"/>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pPr>
        <w:pStyle w:val="10"/>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pPr>
        <w:pStyle w:val="10"/>
        <w:numPr>
          <w:ilvl w:val="0"/>
          <w:numId w:val="1"/>
        </w:numPr>
        <w:ind w:firstLine="562"/>
        <w:rPr>
          <w:rFonts w:ascii="仿宋" w:hAnsi="仿宋" w:eastAsia="仿宋" w:cs="仿宋"/>
          <w:b/>
          <w:bCs/>
          <w:szCs w:val="36"/>
        </w:rPr>
      </w:pPr>
      <w:r>
        <w:rPr>
          <w:rFonts w:hint="eastAsia" w:ascii="仿宋" w:hAnsi="仿宋" w:eastAsia="仿宋" w:cs="仿宋"/>
          <w:b/>
          <w:bCs/>
          <w:szCs w:val="36"/>
        </w:rPr>
        <w:t>投标人提供资格预审资料不符合招标公告规定投标条件的，将被判定为资格审查不合格，并作否决投标处理。</w:t>
      </w:r>
    </w:p>
    <w:p/>
    <w:p>
      <w:pPr>
        <w:pStyle w:val="3"/>
        <w:numPr>
          <w:ilvl w:val="0"/>
          <w:numId w:val="2"/>
        </w:numPr>
        <w:ind w:left="-567" w:leftChars="-270" w:firstLine="424" w:firstLineChars="176"/>
      </w:pPr>
      <w:bookmarkStart w:id="1" w:name="_Toc4174"/>
      <w:bookmarkStart w:id="2" w:name="_Toc12075"/>
      <w:r>
        <w:rPr>
          <w:rFonts w:hint="eastAsia"/>
        </w:rPr>
        <w:t>采购项目供应商资格审核明细表</w:t>
      </w:r>
      <w:bookmarkEnd w:id="1"/>
      <w:bookmarkEnd w:id="2"/>
    </w:p>
    <w:tbl>
      <w:tblPr>
        <w:tblStyle w:val="8"/>
        <w:tblW w:w="5179" w:type="pct"/>
        <w:jc w:val="center"/>
        <w:tblLayout w:type="fixed"/>
        <w:tblCellMar>
          <w:top w:w="0" w:type="dxa"/>
          <w:left w:w="108" w:type="dxa"/>
          <w:bottom w:w="0" w:type="dxa"/>
          <w:right w:w="108" w:type="dxa"/>
        </w:tblCellMar>
      </w:tblPr>
      <w:tblGrid>
        <w:gridCol w:w="576"/>
        <w:gridCol w:w="2652"/>
        <w:gridCol w:w="2755"/>
        <w:gridCol w:w="2844"/>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spacing w:line="240" w:lineRule="auto"/>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spacing w:line="240" w:lineRule="auto"/>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spacing w:line="240" w:lineRule="auto"/>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spacing w:line="240" w:lineRule="auto"/>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spacing w:line="240" w:lineRule="auto"/>
              <w:jc w:val="center"/>
              <w:rPr>
                <w:rFonts w:ascii="仿宋" w:hAnsi="仿宋" w:eastAsia="仿宋" w:cs="仿宋"/>
                <w:b/>
                <w:bCs/>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spacing w:line="240" w:lineRule="auto"/>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spacing w:line="240" w:lineRule="auto"/>
              <w:jc w:val="center"/>
              <w:rPr>
                <w:rFonts w:ascii="仿宋" w:hAnsi="仿宋" w:eastAsia="仿宋" w:cs="仿宋"/>
                <w:b/>
                <w:bCs/>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spacing w:line="240" w:lineRule="auto"/>
              <w:jc w:val="center"/>
              <w:rPr>
                <w:rFonts w:ascii="仿宋" w:hAnsi="仿宋" w:eastAsia="仿宋" w:cs="仿宋"/>
                <w:b/>
                <w:bCs/>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建筑工程施工总承包</w:t>
            </w:r>
            <w:r>
              <w:rPr>
                <w:rFonts w:hint="eastAsia" w:ascii="仿宋" w:hAnsi="仿宋" w:eastAsia="仿宋" w:cs="仿宋"/>
                <w:kern w:val="0"/>
                <w:szCs w:val="21"/>
                <w:lang w:val="en-US" w:eastAsia="zh-CN" w:bidi="ar"/>
              </w:rPr>
              <w:t>二</w:t>
            </w:r>
            <w:r>
              <w:rPr>
                <w:rFonts w:hint="eastAsia" w:ascii="仿宋" w:hAnsi="仿宋" w:eastAsia="仿宋" w:cs="仿宋"/>
                <w:kern w:val="0"/>
                <w:szCs w:val="21"/>
                <w:lang w:bidi="ar"/>
              </w:rPr>
              <w:t>级及以上资质</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spacing w:line="240" w:lineRule="auto"/>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firstLine="0" w:firstLineChars="0"/>
              <w:rPr>
                <w:rFonts w:ascii="仿宋" w:hAnsi="仿宋" w:eastAsia="仿宋" w:cs="仿宋"/>
                <w:kern w:val="0"/>
                <w:szCs w:val="21"/>
                <w:lang w:bidi="ar"/>
              </w:rPr>
            </w:pPr>
            <w:r>
              <w:rPr>
                <w:rFonts w:hint="eastAsia" w:ascii="仿宋" w:hAnsi="仿宋" w:eastAsia="仿宋" w:cs="仿宋"/>
                <w:kern w:val="0"/>
                <w:szCs w:val="21"/>
                <w:lang w:bidi="ar"/>
              </w:rPr>
              <w:t>项目经理1人，投标人拟派的项目经理必须已在投标人本单位注册并应具有建筑工程类</w:t>
            </w:r>
            <w:r>
              <w:rPr>
                <w:rFonts w:hint="eastAsia" w:ascii="仿宋" w:hAnsi="仿宋" w:eastAsia="仿宋" w:cs="仿宋"/>
                <w:kern w:val="0"/>
                <w:szCs w:val="21"/>
                <w:lang w:val="en-US" w:eastAsia="zh-CN" w:bidi="ar"/>
              </w:rPr>
              <w:t>二</w:t>
            </w:r>
            <w:r>
              <w:rPr>
                <w:rFonts w:hint="eastAsia" w:ascii="仿宋" w:hAnsi="仿宋" w:eastAsia="仿宋" w:cs="仿宋"/>
                <w:kern w:val="0"/>
                <w:szCs w:val="21"/>
                <w:lang w:bidi="ar"/>
              </w:rPr>
              <w:t>级</w:t>
            </w:r>
            <w:r>
              <w:rPr>
                <w:rFonts w:hint="eastAsia" w:ascii="仿宋" w:hAnsi="仿宋" w:eastAsia="仿宋" w:cs="仿宋"/>
                <w:kern w:val="0"/>
                <w:szCs w:val="21"/>
                <w:lang w:val="en-US" w:eastAsia="zh-CN" w:bidi="ar"/>
              </w:rPr>
              <w:t>及以上</w:t>
            </w:r>
            <w:r>
              <w:rPr>
                <w:rFonts w:hint="eastAsia" w:ascii="仿宋" w:hAnsi="仿宋" w:eastAsia="仿宋" w:cs="仿宋"/>
                <w:kern w:val="0"/>
                <w:szCs w:val="21"/>
                <w:lang w:bidi="ar"/>
              </w:rPr>
              <w:t>注册建造师执业资格。以上人员均须是投标单位本单位人员，须提供投标截止日前连续6个月投标人为其缴纳的养老保险证明复印件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技术负责人（中级职称以上）、施工员、安全员</w:t>
            </w:r>
            <w:r>
              <w:rPr>
                <w:rFonts w:hint="eastAsia" w:ascii="仿宋" w:hAnsi="仿宋" w:eastAsia="仿宋" w:cs="仿宋"/>
                <w:kern w:val="0"/>
                <w:szCs w:val="21"/>
                <w:lang w:eastAsia="zh-CN" w:bidi="ar"/>
              </w:rPr>
              <w:t>、</w:t>
            </w:r>
            <w:r>
              <w:rPr>
                <w:rFonts w:hint="eastAsia" w:ascii="仿宋" w:hAnsi="仿宋" w:eastAsia="仿宋" w:cs="仿宋"/>
                <w:kern w:val="0"/>
                <w:szCs w:val="21"/>
                <w:lang w:val="en-US" w:eastAsia="zh-CN" w:bidi="ar"/>
              </w:rPr>
              <w:t>资料员、造价员</w:t>
            </w:r>
            <w:r>
              <w:rPr>
                <w:rFonts w:hint="eastAsia" w:ascii="仿宋" w:hAnsi="仿宋" w:eastAsia="仿宋" w:cs="仿宋"/>
                <w:kern w:val="0"/>
                <w:szCs w:val="21"/>
                <w:lang w:bidi="ar"/>
              </w:rPr>
              <w:t>应具备从业资格证书，相应资质在有效期内</w:t>
            </w:r>
            <w:r>
              <w:rPr>
                <w:rFonts w:hint="eastAsia" w:ascii="仿宋" w:hAnsi="仿宋" w:eastAsia="仿宋" w:cs="仿宋"/>
                <w:kern w:val="0"/>
                <w:szCs w:val="21"/>
                <w:lang w:val="en-US" w:eastAsia="zh-CN" w:bidi="ar"/>
              </w:rPr>
              <w:t>。</w:t>
            </w:r>
            <w:r>
              <w:rPr>
                <w:rFonts w:hint="eastAsia" w:ascii="仿宋" w:hAnsi="仿宋" w:eastAsia="仿宋" w:cs="仿宋"/>
                <w:kern w:val="0"/>
                <w:szCs w:val="21"/>
                <w:lang w:bidi="ar"/>
              </w:rPr>
              <w:t>【提供有效的资格证书副本复印件、岗位证书复印件、养老保险证明复印件（标截止日前连续6个月），加盖企业鲜章】</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仿宋" w:hAnsi="仿宋" w:eastAsia="仿宋" w:cs="仿宋"/>
                <w:szCs w:val="21"/>
                <w:lang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pPr>
        <w:pStyle w:val="3"/>
        <w:numPr>
          <w:ilvl w:val="0"/>
          <w:numId w:val="2"/>
        </w:numPr>
      </w:pPr>
      <w:bookmarkStart w:id="3" w:name="_Toc10675"/>
      <w:bookmarkStart w:id="4" w:name="_Toc31482"/>
      <w:r>
        <w:rPr>
          <w:rFonts w:hint="eastAsia"/>
        </w:rPr>
        <w:t>营业执照</w:t>
      </w:r>
      <w:bookmarkEnd w:id="3"/>
      <w:bookmarkEnd w:id="4"/>
    </w:p>
    <w:p>
      <w:pPr>
        <w:tabs>
          <w:tab w:val="right" w:leader="dot" w:pos="9471"/>
        </w:tabs>
        <w:adjustRightInd w:val="0"/>
        <w:snapToGrid w:val="0"/>
        <w:spacing w:line="360" w:lineRule="auto"/>
        <w:ind w:firstLine="480" w:firstLineChars="200"/>
        <w:rPr>
          <w:rFonts w:hint="default" w:ascii="仿宋" w:hAnsi="仿宋" w:eastAsia="仿宋"/>
          <w:sz w:val="24"/>
          <w:highlight w:val="none"/>
          <w:lang w:val="en-US" w:eastAsia="zh-CN" w:bidi="en-US"/>
        </w:rPr>
      </w:pPr>
      <w:r>
        <w:rPr>
          <w:rFonts w:hint="eastAsia" w:ascii="仿宋" w:hAnsi="仿宋" w:eastAsia="仿宋"/>
          <w:sz w:val="24"/>
          <w:highlight w:val="none"/>
          <w:lang w:bidi="en-US"/>
        </w:rPr>
        <w:t>须提供营业执照</w:t>
      </w:r>
      <w:r>
        <w:rPr>
          <w:rFonts w:hint="eastAsia" w:ascii="仿宋" w:hAnsi="仿宋" w:eastAsia="仿宋"/>
          <w:sz w:val="24"/>
          <w:highlight w:val="none"/>
          <w:lang w:eastAsia="zh-CN" w:bidi="en-US"/>
        </w:rPr>
        <w:t>、</w:t>
      </w:r>
      <w:r>
        <w:rPr>
          <w:rFonts w:hint="eastAsia" w:ascii="仿宋" w:hAnsi="仿宋" w:eastAsia="仿宋"/>
          <w:sz w:val="24"/>
          <w:highlight w:val="none"/>
          <w:lang w:val="en-US" w:eastAsia="zh-CN" w:bidi="en-US"/>
        </w:rPr>
        <w:t>安全生产许可证、资质证书</w:t>
      </w:r>
    </w:p>
    <w:p>
      <w:pPr>
        <w:pStyle w:val="3"/>
        <w:numPr>
          <w:ilvl w:val="0"/>
          <w:numId w:val="2"/>
        </w:numPr>
      </w:pPr>
      <w:bookmarkStart w:id="5" w:name="_Toc11805"/>
      <w:bookmarkStart w:id="6" w:name="_Toc381"/>
      <w:r>
        <w:rPr>
          <w:rFonts w:hint="eastAsia"/>
        </w:rPr>
        <w:t>实缴资本证明</w:t>
      </w:r>
      <w:bookmarkEnd w:id="5"/>
      <w:bookmarkEnd w:id="6"/>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3"/>
        <w:numPr>
          <w:ilvl w:val="0"/>
          <w:numId w:val="2"/>
        </w:numPr>
      </w:pPr>
      <w:bookmarkStart w:id="7" w:name="_Toc10564"/>
      <w:bookmarkStart w:id="8" w:name="_Toc10002"/>
      <w:r>
        <w:rPr>
          <w:rFonts w:hint="eastAsia"/>
        </w:rPr>
        <w:t>参保人数证明</w:t>
      </w:r>
      <w:bookmarkEnd w:id="7"/>
      <w:bookmarkEnd w:id="8"/>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r>
        <w:br w:type="page"/>
      </w:r>
    </w:p>
    <w:p/>
    <w:p>
      <w:pPr>
        <w:pStyle w:val="3"/>
        <w:numPr>
          <w:ilvl w:val="0"/>
          <w:numId w:val="2"/>
        </w:numPr>
      </w:pPr>
      <w:bookmarkStart w:id="9" w:name="_Toc26155"/>
      <w:bookmarkStart w:id="10" w:name="_Toc28686"/>
      <w:r>
        <w:rPr>
          <w:rFonts w:hint="eastAsia"/>
        </w:rPr>
        <w:t>投标授权委托书</w:t>
      </w:r>
      <w:bookmarkEnd w:id="9"/>
      <w:bookmarkEnd w:id="10"/>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5"/>
        <w:rPr>
          <w:u w:val="single"/>
        </w:rPr>
      </w:pPr>
      <w:r>
        <w:rPr>
          <w:rFonts w:hint="eastAsia"/>
        </w:rPr>
        <w:t xml:space="preserve">                          </w:t>
      </w:r>
      <w:r>
        <w:rPr>
          <w:rFonts w:hint="eastAsia"/>
          <w:lang w:val="en-US" w:eastAsia="zh-CN"/>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left="0" w:leftChars="0" w:firstLine="0" w:firstLineChars="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ind w:left="0" w:leftChars="0" w:firstLine="0" w:firstLineChars="0"/>
        <w:rPr>
          <w:lang w:bidi="en-US"/>
        </w:rPr>
      </w:pPr>
    </w:p>
    <w:p>
      <w:pPr>
        <w:rPr>
          <w:lang w:bidi="en-US"/>
        </w:rPr>
      </w:pPr>
    </w:p>
    <w:p>
      <w:pPr>
        <w:pStyle w:val="3"/>
        <w:numPr>
          <w:ilvl w:val="0"/>
          <w:numId w:val="2"/>
        </w:numPr>
      </w:pPr>
      <w:bookmarkStart w:id="11" w:name="_Toc18372"/>
      <w:bookmarkStart w:id="12" w:name="_Toc16033"/>
      <w:r>
        <w:rPr>
          <w:rFonts w:hint="eastAsia"/>
        </w:rPr>
        <w:t>被委托人社保缴纳证明</w:t>
      </w:r>
      <w:bookmarkEnd w:id="11"/>
      <w:bookmarkEnd w:id="12"/>
    </w:p>
    <w:p>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pPr>
        <w:pStyle w:val="2"/>
        <w:rPr>
          <w:rFonts w:hint="eastAsia" w:ascii="仿宋" w:hAnsi="仿宋" w:eastAsia="仿宋"/>
          <w:sz w:val="24"/>
          <w:lang w:bidi="en-US"/>
        </w:rPr>
      </w:pPr>
    </w:p>
    <w:p>
      <w:pPr>
        <w:rPr>
          <w:rFonts w:hint="eastAsia" w:ascii="仿宋" w:hAnsi="仿宋" w:eastAsia="仿宋"/>
          <w:sz w:val="24"/>
          <w:lang w:bidi="en-US"/>
        </w:rPr>
      </w:pPr>
    </w:p>
    <w:p>
      <w:pPr>
        <w:pStyle w:val="2"/>
        <w:rPr>
          <w:rFonts w:hint="eastAsia" w:ascii="仿宋" w:hAnsi="仿宋" w:eastAsia="仿宋"/>
          <w:sz w:val="24"/>
          <w:lang w:bidi="en-US"/>
        </w:rPr>
      </w:pPr>
    </w:p>
    <w:p>
      <w:r>
        <w:br w:type="page"/>
      </w:r>
    </w:p>
    <w:p>
      <w:pPr>
        <w:pStyle w:val="2"/>
      </w:pPr>
    </w:p>
    <w:p>
      <w:pPr>
        <w:pStyle w:val="3"/>
        <w:numPr>
          <w:ilvl w:val="0"/>
          <w:numId w:val="2"/>
        </w:numPr>
      </w:pPr>
      <w:bookmarkStart w:id="13" w:name="_Toc31427"/>
      <w:bookmarkStart w:id="14" w:name="_Toc31558"/>
      <w:r>
        <w:rPr>
          <w:rFonts w:hint="eastAsia"/>
        </w:rPr>
        <w:t>承诺书</w:t>
      </w:r>
      <w:bookmarkEnd w:id="13"/>
      <w:bookmarkEnd w:id="14"/>
    </w:p>
    <w:p>
      <w:pPr>
        <w:pStyle w:val="11"/>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pPr>
        <w:pStyle w:val="11"/>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1"/>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1"/>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1"/>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1"/>
        <w:spacing w:line="400" w:lineRule="exact"/>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1"/>
        <w:spacing w:line="400" w:lineRule="exact"/>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1"/>
        <w:spacing w:line="400" w:lineRule="exact"/>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1"/>
        <w:spacing w:line="400" w:lineRule="exact"/>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1"/>
        <w:spacing w:line="400" w:lineRule="exact"/>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1"/>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1"/>
        <w:spacing w:line="400" w:lineRule="exact"/>
        <w:ind w:firstLine="480" w:firstLineChars="200"/>
        <w:rPr>
          <w:rFonts w:ascii="仿宋" w:hAnsi="仿宋" w:eastAsia="仿宋"/>
          <w:color w:val="auto"/>
        </w:rPr>
      </w:pPr>
    </w:p>
    <w:p>
      <w:pPr>
        <w:pStyle w:val="7"/>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投标申请人（盖章）：</w:t>
      </w:r>
    </w:p>
    <w:p>
      <w:pPr>
        <w:pStyle w:val="7"/>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法定代表人（签字或盖章）：</w:t>
      </w:r>
    </w:p>
    <w:p>
      <w:pPr>
        <w:pStyle w:val="7"/>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pPr>
        <w:pStyle w:val="3"/>
        <w:numPr>
          <w:ilvl w:val="0"/>
          <w:numId w:val="2"/>
        </w:numPr>
        <w:rPr>
          <w:rFonts w:hint="eastAsia"/>
        </w:rPr>
      </w:pPr>
      <w:bookmarkStart w:id="15" w:name="_Toc15678"/>
      <w:bookmarkStart w:id="16" w:name="_Toc1731"/>
      <w:r>
        <w:rPr>
          <w:rFonts w:hint="eastAsia"/>
        </w:rPr>
        <w:t>廉洁保密承诺书</w:t>
      </w:r>
      <w:bookmarkEnd w:id="15"/>
      <w:bookmarkEnd w:id="16"/>
    </w:p>
    <w:p>
      <w:pPr>
        <w:jc w:val="center"/>
        <w:rPr>
          <w:rFonts w:hint="eastAsia" w:eastAsia="宋体"/>
          <w:lang w:val="en-US" w:eastAsia="zh-CN" w:bidi="en-US"/>
        </w:rPr>
      </w:pPr>
      <w:r>
        <w:rPr>
          <w:rFonts w:hint="eastAsia" w:ascii="宋体" w:hAnsi="宋体" w:cs="微软雅黑"/>
          <w:b/>
          <w:bCs/>
          <w:sz w:val="30"/>
          <w:szCs w:val="30"/>
        </w:rPr>
        <w:t>招投标/业务合作廉洁保密承诺书</w:t>
      </w:r>
      <w:r>
        <w:rPr>
          <w:rFonts w:hint="eastAsia" w:ascii="宋体" w:hAnsi="宋体" w:cs="微软雅黑"/>
          <w:b/>
          <w:bCs/>
          <w:sz w:val="30"/>
          <w:szCs w:val="30"/>
          <w:lang w:val="en-US" w:eastAsia="zh-CN"/>
        </w:rPr>
        <w:t>1</w:t>
      </w:r>
    </w:p>
    <w:p>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                                                       年   月   日</w:t>
      </w:r>
    </w:p>
    <w:p>
      <w:r>
        <w:br w:type="page"/>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供应商廉洁自律承诺书2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spacing w:line="360" w:lineRule="auto"/>
        <w:rPr>
          <w:rFonts w:hint="eastAsia" w:asciiTheme="minorEastAsia" w:hAnsiTheme="minorEastAsia" w:eastAsiaTheme="minorEastAsia" w:cstheme="minorEastAsia"/>
          <w:sz w:val="22"/>
          <w:szCs w:val="22"/>
        </w:rPr>
      </w:pPr>
    </w:p>
    <w:p>
      <w:r>
        <w:br w:type="page"/>
      </w:r>
    </w:p>
    <w:p>
      <w:pPr>
        <w:pStyle w:val="3"/>
        <w:numPr>
          <w:ilvl w:val="0"/>
          <w:numId w:val="2"/>
        </w:numPr>
        <w:rPr>
          <w:lang w:bidi="en-US"/>
        </w:rPr>
      </w:pPr>
      <w:bookmarkStart w:id="17" w:name="_Toc28835"/>
      <w:bookmarkStart w:id="18" w:name="_Toc20294"/>
      <w:r>
        <w:rPr>
          <w:rFonts w:hint="eastAsia"/>
          <w:lang w:bidi="en-US"/>
        </w:rPr>
        <w:t>关联公司证明</w:t>
      </w:r>
      <w:bookmarkEnd w:id="17"/>
      <w:bookmarkEnd w:id="18"/>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pStyle w:val="3"/>
        <w:numPr>
          <w:ilvl w:val="0"/>
          <w:numId w:val="2"/>
        </w:numPr>
        <w:rPr>
          <w:lang w:bidi="en-US"/>
        </w:rPr>
      </w:pPr>
      <w:bookmarkStart w:id="19" w:name="_Toc14765"/>
      <w:bookmarkStart w:id="20" w:name="_Toc29875"/>
      <w:r>
        <w:rPr>
          <w:rFonts w:hint="eastAsia"/>
          <w:lang w:bidi="en-US"/>
        </w:rPr>
        <w:t>拟派本项目团队主要人员及履历</w:t>
      </w:r>
      <w:bookmarkEnd w:id="19"/>
      <w:bookmarkEnd w:id="20"/>
    </w:p>
    <w:p>
      <w:pPr>
        <w:jc w:val="center"/>
        <w:rPr>
          <w:b/>
          <w:sz w:val="24"/>
        </w:rPr>
      </w:pPr>
      <w:r>
        <w:rPr>
          <w:rFonts w:hint="eastAsia"/>
          <w:b/>
          <w:sz w:val="24"/>
        </w:rPr>
        <w:t>项目管理机构组成表</w:t>
      </w:r>
    </w:p>
    <w:p>
      <w:pPr>
        <w:rPr>
          <w:rFonts w:ascii="宋体" w:hAnsi="宋体" w:cs="仿宋_GB2312"/>
        </w:rPr>
      </w:pPr>
    </w:p>
    <w:tbl>
      <w:tblPr>
        <w:tblStyle w:val="8"/>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bookmarkStart w:id="21"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bookmarkEnd w:id="21"/>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autoSpaceDE w:val="0"/>
        <w:autoSpaceDN w:val="0"/>
        <w:adjustRightInd w:val="0"/>
        <w:snapToGrid w:val="0"/>
        <w:spacing w:line="360" w:lineRule="auto"/>
        <w:jc w:val="left"/>
        <w:rPr>
          <w:rFonts w:ascii="宋体" w:hAnsi="宋体" w:cs="仿宋_GB2312"/>
          <w:kern w:val="0"/>
        </w:rPr>
      </w:pPr>
    </w:p>
    <w:p>
      <w:pPr>
        <w:jc w:val="center"/>
        <w:rPr>
          <w:rFonts w:ascii="宋体" w:hAnsi="宋体" w:cs="仿宋_GB2312"/>
        </w:rPr>
      </w:pPr>
      <w:bookmarkStart w:id="22" w:name="_Toc208823046"/>
      <w:r>
        <w:rPr>
          <w:rFonts w:hint="eastAsia" w:ascii="宋体" w:hAnsi="宋体" w:cs="仿宋_GB2312"/>
          <w:sz w:val="28"/>
        </w:rPr>
        <w:br w:type="page"/>
      </w:r>
      <w:bookmarkStart w:id="23" w:name="_Hlk48865172"/>
      <w:r>
        <w:rPr>
          <w:rFonts w:hint="eastAsia"/>
          <w:b/>
          <w:sz w:val="24"/>
        </w:rPr>
        <w:t>主要人员简历表</w:t>
      </w:r>
      <w:bookmarkEnd w:id="22"/>
    </w:p>
    <w:tbl>
      <w:tblPr>
        <w:tblStyle w:val="8"/>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3"/>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spacing w:before="160" w:beforeLines="50"/>
        <w:ind w:firstLine="420" w:firstLineChars="200"/>
        <w:rPr>
          <w:rFonts w:ascii="仿宋" w:hAnsi="仿宋" w:eastAsia="仿宋"/>
          <w:sz w:val="24"/>
          <w:lang w:bidi="en-US"/>
        </w:rPr>
      </w:pPr>
      <w:r>
        <w:rPr>
          <w:rFonts w:hint="eastAsia" w:ascii="宋体" w:hAnsi="宋体" w:cs="仿宋_GB2312"/>
        </w:rPr>
        <w:t>注：一人一表，并提供要求的证明材料。</w:t>
      </w:r>
    </w:p>
    <w:p>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pPr>
        <w:ind w:firstLine="240" w:firstLineChars="100"/>
        <w:rPr>
          <w:rFonts w:hint="eastAsia" w:ascii="仿宋" w:hAnsi="仿宋" w:eastAsia="仿宋"/>
          <w:sz w:val="24"/>
          <w:lang w:bidi="en-US"/>
        </w:rPr>
      </w:pPr>
      <w:r>
        <w:rPr>
          <w:rFonts w:hint="eastAsia" w:ascii="仿宋" w:hAnsi="仿宋" w:eastAsia="仿宋"/>
          <w:sz w:val="24"/>
          <w:lang w:bidi="en-US"/>
        </w:rPr>
        <w:t>（1）项目经理1人：投标人拟派的项目经理必须已在投标人本单位注册并应具有建筑工程类</w:t>
      </w:r>
      <w:r>
        <w:rPr>
          <w:rFonts w:hint="eastAsia" w:ascii="仿宋" w:hAnsi="仿宋" w:eastAsia="仿宋"/>
          <w:sz w:val="24"/>
          <w:lang w:val="en-US" w:eastAsia="zh-CN" w:bidi="en-US"/>
        </w:rPr>
        <w:t>二</w:t>
      </w:r>
      <w:r>
        <w:rPr>
          <w:rFonts w:hint="eastAsia" w:ascii="仿宋" w:hAnsi="仿宋" w:eastAsia="仿宋"/>
          <w:sz w:val="24"/>
          <w:lang w:bidi="en-US"/>
        </w:rPr>
        <w:t>级</w:t>
      </w:r>
      <w:r>
        <w:rPr>
          <w:rFonts w:hint="eastAsia" w:ascii="仿宋" w:hAnsi="仿宋" w:eastAsia="仿宋"/>
          <w:sz w:val="24"/>
          <w:lang w:val="en-US" w:eastAsia="zh-CN" w:bidi="en-US"/>
        </w:rPr>
        <w:t>及以上</w:t>
      </w:r>
      <w:r>
        <w:rPr>
          <w:rFonts w:hint="eastAsia" w:ascii="仿宋" w:hAnsi="仿宋" w:eastAsia="仿宋"/>
          <w:sz w:val="24"/>
          <w:lang w:bidi="en-US"/>
        </w:rPr>
        <w:t>注册建造师执业资格，应为投标人本单位人员，拟派项目经理中标后不得随意更换。【投标人须在投标文件资格审查部分提供拟派项目经理建造师注册证、身份证、投标人本单位为其缴纳的养老保险证明材料复印件（投标截止日前连续6个月）】。</w:t>
      </w:r>
    </w:p>
    <w:p>
      <w:pPr>
        <w:ind w:firstLine="240" w:firstLineChars="100"/>
        <w:rPr>
          <w:rFonts w:hint="eastAsia" w:ascii="仿宋" w:hAnsi="仿宋" w:eastAsia="仿宋"/>
          <w:sz w:val="24"/>
          <w:lang w:bidi="en-US"/>
        </w:rPr>
      </w:pPr>
      <w:r>
        <w:rPr>
          <w:rFonts w:hint="eastAsia" w:ascii="仿宋" w:hAnsi="仿宋" w:eastAsia="仿宋"/>
          <w:sz w:val="24"/>
          <w:lang w:bidi="en-US"/>
        </w:rPr>
        <w:t>（</w:t>
      </w:r>
      <w:r>
        <w:rPr>
          <w:rFonts w:hint="eastAsia" w:ascii="仿宋" w:hAnsi="仿宋" w:eastAsia="仿宋"/>
          <w:sz w:val="24"/>
          <w:lang w:val="en-US" w:eastAsia="zh-CN" w:bidi="en-US"/>
        </w:rPr>
        <w:t>2</w:t>
      </w:r>
      <w:r>
        <w:rPr>
          <w:rFonts w:hint="eastAsia" w:ascii="仿宋" w:hAnsi="仿宋" w:eastAsia="仿宋"/>
          <w:sz w:val="24"/>
          <w:lang w:bidi="en-US"/>
        </w:rPr>
        <w:t>）主要管理人员：技术负责人（中级职称以上）、施工员、安全员</w:t>
      </w:r>
      <w:r>
        <w:rPr>
          <w:rFonts w:hint="eastAsia" w:ascii="仿宋" w:hAnsi="仿宋" w:eastAsia="仿宋"/>
          <w:sz w:val="24"/>
          <w:lang w:eastAsia="zh-CN" w:bidi="en-US"/>
        </w:rPr>
        <w:t>、</w:t>
      </w:r>
      <w:r>
        <w:rPr>
          <w:rFonts w:hint="eastAsia" w:ascii="仿宋" w:hAnsi="仿宋" w:eastAsia="仿宋"/>
          <w:sz w:val="24"/>
          <w:lang w:val="en-US" w:eastAsia="zh-CN" w:bidi="en-US"/>
        </w:rPr>
        <w:t>资料员、造价员</w:t>
      </w:r>
      <w:r>
        <w:rPr>
          <w:rFonts w:hint="eastAsia" w:ascii="仿宋" w:hAnsi="仿宋" w:eastAsia="仿宋"/>
          <w:sz w:val="24"/>
          <w:lang w:bidi="en-US"/>
        </w:rPr>
        <w:t>应具备从业资格证书，相应资质在有效期内</w:t>
      </w:r>
      <w:r>
        <w:rPr>
          <w:rFonts w:hint="eastAsia" w:ascii="仿宋" w:hAnsi="仿宋" w:eastAsia="仿宋"/>
          <w:sz w:val="24"/>
          <w:lang w:val="en-US" w:eastAsia="zh-CN" w:bidi="en-US"/>
        </w:rPr>
        <w:t>。</w:t>
      </w:r>
      <w:r>
        <w:rPr>
          <w:rFonts w:hint="eastAsia" w:ascii="仿宋" w:hAnsi="仿宋" w:eastAsia="仿宋"/>
          <w:sz w:val="24"/>
          <w:lang w:bidi="en-US"/>
        </w:rPr>
        <w:t>【提供有效的资格证书副本复印件、岗位证书复印件、养老保险证明复印件（标截止日前连续6个月），加盖企业鲜章】</w:t>
      </w:r>
    </w:p>
    <w:p>
      <w:pPr>
        <w:rPr>
          <w:lang w:bidi="en-US"/>
        </w:rPr>
      </w:pPr>
      <w:r>
        <w:rPr>
          <w:rFonts w:hint="eastAsia"/>
          <w:lang w:bidi="en-US"/>
        </w:rPr>
        <w:t xml:space="preserve"> </w:t>
      </w:r>
    </w:p>
    <w:p>
      <w:pPr>
        <w:pStyle w:val="3"/>
        <w:numPr>
          <w:ilvl w:val="0"/>
          <w:numId w:val="2"/>
        </w:numPr>
      </w:pPr>
      <w:bookmarkStart w:id="24" w:name="_Toc31246"/>
      <w:bookmarkStart w:id="25" w:name="_Toc1920"/>
      <w:r>
        <w:rPr>
          <w:rFonts w:hint="eastAsia"/>
        </w:rPr>
        <w:t>诚信度</w:t>
      </w:r>
      <w:bookmarkEnd w:id="24"/>
      <w:bookmarkEnd w:id="25"/>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3"/>
        <w:numPr>
          <w:ilvl w:val="0"/>
          <w:numId w:val="2"/>
        </w:numPr>
      </w:pPr>
      <w:bookmarkStart w:id="26" w:name="_Toc11363"/>
      <w:bookmarkStart w:id="27" w:name="_Toc12421"/>
      <w:r>
        <w:rPr>
          <w:rFonts w:hint="eastAsia"/>
        </w:rPr>
        <w:t>财务状况</w:t>
      </w:r>
      <w:bookmarkEnd w:id="26"/>
      <w:bookmarkEnd w:id="27"/>
    </w:p>
    <w:p>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提供202</w:t>
      </w:r>
      <w:r>
        <w:rPr>
          <w:rFonts w:hint="eastAsia" w:ascii="仿宋" w:hAnsi="仿宋" w:eastAsia="仿宋"/>
          <w:sz w:val="24"/>
          <w:lang w:val="en-US" w:eastAsia="zh-CN" w:bidi="en-US"/>
        </w:rPr>
        <w:t>0</w:t>
      </w:r>
      <w:r>
        <w:rPr>
          <w:rFonts w:hint="eastAsia" w:ascii="仿宋" w:hAnsi="仿宋" w:eastAsia="仿宋"/>
          <w:sz w:val="24"/>
          <w:lang w:bidi="en-US"/>
        </w:rPr>
        <w:t>-202</w:t>
      </w:r>
      <w:r>
        <w:rPr>
          <w:rFonts w:hint="eastAsia" w:ascii="仿宋" w:hAnsi="仿宋" w:eastAsia="仿宋"/>
          <w:sz w:val="24"/>
          <w:lang w:val="en-US" w:eastAsia="zh-CN" w:bidi="en-US"/>
        </w:rPr>
        <w:t>2</w:t>
      </w:r>
      <w:r>
        <w:rPr>
          <w:rFonts w:hint="eastAsia" w:ascii="仿宋" w:hAnsi="仿宋" w:eastAsia="仿宋"/>
          <w:sz w:val="24"/>
          <w:lang w:bidi="en-US"/>
        </w:rPr>
        <w:t>年经审计的财务三表（资产负债表、现金流量表、利润表）及第三方会计师事务所年度审计报告。</w:t>
      </w:r>
    </w:p>
    <w:p>
      <w:pPr>
        <w:pStyle w:val="3"/>
        <w:numPr>
          <w:ilvl w:val="0"/>
          <w:numId w:val="2"/>
        </w:numPr>
      </w:pPr>
      <w:bookmarkStart w:id="28" w:name="_Toc14096"/>
      <w:bookmarkStart w:id="29" w:name="_Toc829"/>
      <w:r>
        <w:rPr>
          <w:rFonts w:hint="eastAsia"/>
        </w:rPr>
        <w:t>同类</w:t>
      </w:r>
      <w:r>
        <w:t>业绩</w:t>
      </w:r>
      <w:r>
        <w:rPr>
          <w:rFonts w:hint="eastAsia"/>
        </w:rPr>
        <w:t>一栏表</w:t>
      </w:r>
      <w:bookmarkEnd w:id="28"/>
      <w:bookmarkEnd w:id="29"/>
    </w:p>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color w:val="auto"/>
          <w:sz w:val="24"/>
          <w:lang w:bidi="en-US"/>
        </w:rPr>
        <w:t>投标截止日前</w:t>
      </w:r>
      <w:r>
        <w:rPr>
          <w:rFonts w:hint="eastAsia" w:ascii="仿宋" w:hAnsi="仿宋" w:eastAsia="仿宋"/>
          <w:color w:val="auto"/>
          <w:sz w:val="24"/>
          <w:lang w:val="en-US" w:eastAsia="zh-CN" w:bidi="en-US"/>
        </w:rPr>
        <w:t>5</w:t>
      </w:r>
      <w:r>
        <w:rPr>
          <w:rFonts w:hint="eastAsia" w:ascii="仿宋" w:hAnsi="仿宋" w:eastAsia="仿宋"/>
          <w:color w:val="auto"/>
          <w:sz w:val="24"/>
          <w:lang w:bidi="en-US"/>
        </w:rPr>
        <w:t>年内，指</w:t>
      </w:r>
      <w:r>
        <w:rPr>
          <w:rFonts w:hint="eastAsia" w:ascii="仿宋" w:hAnsi="仿宋" w:eastAsia="仿宋"/>
          <w:color w:val="auto"/>
          <w:sz w:val="24"/>
          <w:lang w:val="en-US" w:eastAsia="zh-CN" w:bidi="en-US"/>
        </w:rPr>
        <w:t>2019</w:t>
      </w:r>
      <w:r>
        <w:rPr>
          <w:rFonts w:hint="eastAsia" w:ascii="仿宋" w:hAnsi="仿宋" w:eastAsia="仿宋"/>
          <w:color w:val="auto"/>
          <w:sz w:val="24"/>
          <w:lang w:bidi="en-US"/>
        </w:rPr>
        <w:t>年1月1日至今，投标人至少承担过</w:t>
      </w:r>
      <w:r>
        <w:rPr>
          <w:rFonts w:hint="eastAsia" w:ascii="仿宋" w:hAnsi="仿宋" w:eastAsia="仿宋"/>
          <w:color w:val="auto"/>
          <w:sz w:val="24"/>
          <w:lang w:val="en-US" w:eastAsia="zh-CN" w:bidi="en-US"/>
        </w:rPr>
        <w:t>1</w:t>
      </w:r>
      <w:r>
        <w:rPr>
          <w:rFonts w:hint="eastAsia" w:ascii="仿宋" w:hAnsi="仿宋" w:eastAsia="仿宋"/>
          <w:color w:val="auto"/>
          <w:sz w:val="24"/>
          <w:lang w:bidi="en-US"/>
        </w:rPr>
        <w:t>个</w:t>
      </w:r>
      <w:r>
        <w:rPr>
          <w:rFonts w:hint="eastAsia" w:ascii="仿宋" w:hAnsi="仿宋" w:eastAsia="仿宋"/>
          <w:color w:val="auto"/>
          <w:sz w:val="24"/>
          <w:lang w:val="en-US" w:eastAsia="zh-CN" w:bidi="en-US"/>
        </w:rPr>
        <w:t>类似维修工程项目</w:t>
      </w:r>
      <w:r>
        <w:rPr>
          <w:rFonts w:hint="eastAsia" w:ascii="仿宋" w:hAnsi="仿宋" w:eastAsia="仿宋"/>
          <w:color w:val="auto"/>
          <w:sz w:val="24"/>
          <w:lang w:bidi="en-US"/>
        </w:rPr>
        <w:t>业绩</w:t>
      </w:r>
      <w:r>
        <w:rPr>
          <w:rFonts w:hint="eastAsia" w:ascii="仿宋" w:hAnsi="仿宋" w:eastAsia="仿宋"/>
          <w:color w:val="auto"/>
          <w:sz w:val="24"/>
          <w:lang w:eastAsia="zh-CN" w:bidi="en-US"/>
        </w:rPr>
        <w:t>，</w:t>
      </w:r>
      <w:r>
        <w:rPr>
          <w:rFonts w:hint="eastAsia" w:ascii="仿宋" w:hAnsi="仿宋" w:eastAsia="仿宋"/>
          <w:color w:val="auto"/>
          <w:sz w:val="24"/>
          <w:lang w:bidi="en-US"/>
        </w:rPr>
        <w:t>提供业绩项目中标通知书</w:t>
      </w:r>
      <w:r>
        <w:rPr>
          <w:rFonts w:hint="eastAsia" w:ascii="仿宋" w:hAnsi="仿宋" w:eastAsia="仿宋"/>
          <w:color w:val="auto"/>
          <w:sz w:val="24"/>
          <w:lang w:eastAsia="zh-CN" w:bidi="en-US"/>
        </w:rPr>
        <w:t>（</w:t>
      </w:r>
      <w:r>
        <w:rPr>
          <w:rFonts w:hint="eastAsia" w:ascii="仿宋" w:hAnsi="仿宋" w:eastAsia="仿宋"/>
          <w:color w:val="auto"/>
          <w:sz w:val="24"/>
          <w:lang w:val="en-US" w:eastAsia="zh-CN" w:bidi="en-US"/>
        </w:rPr>
        <w:t>若有</w:t>
      </w:r>
      <w:r>
        <w:rPr>
          <w:rFonts w:hint="eastAsia" w:ascii="仿宋" w:hAnsi="仿宋" w:eastAsia="仿宋"/>
          <w:color w:val="auto"/>
          <w:sz w:val="24"/>
          <w:lang w:eastAsia="zh-CN" w:bidi="en-US"/>
        </w:rPr>
        <w:t>）</w:t>
      </w:r>
      <w:r>
        <w:rPr>
          <w:rFonts w:hint="eastAsia" w:ascii="仿宋" w:hAnsi="仿宋" w:eastAsia="仿宋"/>
          <w:color w:val="auto"/>
          <w:sz w:val="24"/>
          <w:lang w:bidi="en-US"/>
        </w:rPr>
        <w:t>、合同书（施工范围、金额、时间可见）</w:t>
      </w:r>
      <w:r>
        <w:rPr>
          <w:rFonts w:hint="eastAsia" w:ascii="仿宋" w:hAnsi="仿宋" w:eastAsia="仿宋"/>
          <w:color w:val="auto"/>
          <w:sz w:val="24"/>
          <w:lang w:eastAsia="zh-CN" w:bidi="en-US"/>
        </w:rPr>
        <w:t>、</w:t>
      </w:r>
      <w:r>
        <w:rPr>
          <w:rFonts w:hint="eastAsia" w:ascii="仿宋" w:hAnsi="仿宋" w:eastAsia="仿宋"/>
          <w:color w:val="auto"/>
          <w:sz w:val="24"/>
          <w:lang w:bidi="en-US"/>
        </w:rPr>
        <w:t>竣工验收证明</w:t>
      </w:r>
      <w:r>
        <w:rPr>
          <w:rFonts w:hint="eastAsia" w:ascii="仿宋" w:hAnsi="仿宋" w:eastAsia="仿宋"/>
          <w:color w:val="auto"/>
          <w:sz w:val="24"/>
          <w:lang w:eastAsia="zh-CN" w:bidi="en-US"/>
        </w:rPr>
        <w:t>（</w:t>
      </w:r>
      <w:r>
        <w:rPr>
          <w:rFonts w:hint="eastAsia" w:ascii="仿宋" w:hAnsi="仿宋" w:eastAsia="仿宋"/>
          <w:color w:val="auto"/>
          <w:sz w:val="24"/>
          <w:lang w:val="en-US" w:eastAsia="zh-CN" w:bidi="en-US"/>
        </w:rPr>
        <w:t>若有</w:t>
      </w:r>
      <w:r>
        <w:rPr>
          <w:rFonts w:hint="eastAsia" w:ascii="仿宋" w:hAnsi="仿宋" w:eastAsia="仿宋"/>
          <w:color w:val="auto"/>
          <w:sz w:val="24"/>
          <w:lang w:eastAsia="zh-CN" w:bidi="en-US"/>
        </w:rPr>
        <w:t>）</w:t>
      </w:r>
      <w:r>
        <w:rPr>
          <w:rFonts w:hint="eastAsia" w:ascii="仿宋" w:hAnsi="仿宋" w:eastAsia="仿宋"/>
          <w:color w:val="auto"/>
          <w:sz w:val="24"/>
          <w:lang w:val="en-US" w:eastAsia="zh-CN" w:bidi="en-US"/>
        </w:rPr>
        <w:t>、</w:t>
      </w:r>
      <w:r>
        <w:rPr>
          <w:rFonts w:hint="eastAsia" w:ascii="仿宋" w:hAnsi="仿宋" w:eastAsia="仿宋"/>
          <w:color w:val="auto"/>
          <w:sz w:val="24"/>
          <w:lang w:bidi="en-US"/>
        </w:rPr>
        <w:t>发票复印件。</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pPr>
              <w:ind w:left="0" w:leftChars="0" w:firstLine="0" w:firstLineChars="0"/>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3"/>
        <w:numPr>
          <w:ilvl w:val="0"/>
          <w:numId w:val="2"/>
        </w:numPr>
      </w:pPr>
      <w:bookmarkStart w:id="30" w:name="_Toc2992"/>
      <w:bookmarkStart w:id="31" w:name="_Toc32186"/>
      <w:r>
        <w:t>业绩证明</w:t>
      </w:r>
      <w:bookmarkEnd w:id="30"/>
      <w:bookmarkEnd w:id="3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2、提供业绩合同的首页、盖章页及能体现合同服务内容、施工范围、地点、时间及金额等与本项目相关部分复印件，项目竣工验收证明</w:t>
      </w:r>
      <w:r>
        <w:rPr>
          <w:rFonts w:hint="eastAsia" w:ascii="仿宋" w:hAnsi="仿宋" w:eastAsia="仿宋"/>
          <w:sz w:val="24"/>
          <w:lang w:val="en-US" w:eastAsia="zh-CN" w:bidi="en-US"/>
        </w:rPr>
        <w:t>以及</w:t>
      </w:r>
      <w:r>
        <w:rPr>
          <w:rFonts w:hint="eastAsia" w:ascii="仿宋" w:hAnsi="仿宋" w:eastAsia="仿宋"/>
          <w:sz w:val="24"/>
          <w:lang w:bidi="en-US"/>
        </w:rPr>
        <w:t>发票复印件、并加盖公司公章。</w:t>
      </w:r>
    </w:p>
    <w:p>
      <w:pPr>
        <w:rPr>
          <w:rFonts w:hint="eastAsia" w:ascii="仿宋" w:hAnsi="仿宋" w:eastAsia="仿宋"/>
          <w:sz w:val="24"/>
          <w:lang w:bidi="en-US"/>
        </w:rPr>
      </w:pPr>
      <w:r>
        <w:rPr>
          <w:rFonts w:hint="eastAsia" w:ascii="仿宋" w:hAnsi="仿宋" w:eastAsia="仿宋"/>
          <w:sz w:val="24"/>
          <w:lang w:bidi="en-US"/>
        </w:rPr>
        <w:br w:type="page"/>
      </w:r>
    </w:p>
    <w:p>
      <w:pPr>
        <w:tabs>
          <w:tab w:val="right" w:leader="dot" w:pos="9471"/>
        </w:tabs>
        <w:adjustRightInd w:val="0"/>
        <w:snapToGrid w:val="0"/>
        <w:spacing w:line="360" w:lineRule="auto"/>
        <w:ind w:firstLine="480" w:firstLineChars="200"/>
        <w:rPr>
          <w:rFonts w:hint="eastAsia" w:ascii="仿宋" w:hAnsi="仿宋" w:eastAsia="仿宋"/>
          <w:sz w:val="24"/>
          <w:lang w:bidi="en-US"/>
        </w:rPr>
      </w:pPr>
    </w:p>
    <w:p>
      <w:pPr>
        <w:pStyle w:val="3"/>
        <w:numPr>
          <w:ilvl w:val="0"/>
          <w:numId w:val="2"/>
        </w:numPr>
      </w:pPr>
      <w:bookmarkStart w:id="32" w:name="_Toc15769"/>
      <w:bookmarkStart w:id="33" w:name="_Toc1972"/>
      <w:r>
        <w:rPr>
          <w:rFonts w:hint="eastAsia"/>
        </w:rPr>
        <w:t>供应商调查问卷</w:t>
      </w:r>
      <w:bookmarkEnd w:id="32"/>
      <w:bookmarkEnd w:id="33"/>
    </w:p>
    <w:p>
      <w:pPr>
        <w:spacing w:line="540" w:lineRule="exact"/>
        <w:jc w:val="center"/>
        <w:rPr>
          <w:rFonts w:ascii="宋体" w:hAnsi="宋体" w:cs="宋体"/>
          <w:b/>
          <w:sz w:val="28"/>
          <w:szCs w:val="28"/>
        </w:rPr>
      </w:pPr>
      <w:bookmarkStart w:id="34" w:name="OLE_LINK3"/>
      <w:bookmarkStart w:id="35" w:name="OLE_LINK5"/>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4"/>
    <w:bookmarkEnd w:id="35"/>
    <w:p>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仿宋" w:hAnsi="仿宋" w:eastAsia="仿宋" w:cs="仿宋"/>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0"/>
              <w:numPr>
                <w:ilvl w:val="0"/>
                <w:numId w:val="5"/>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99" w:type="dxa"/>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84" w:type="dxa"/>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ascii="仿宋" w:hAnsi="仿宋" w:eastAsia="仿宋" w:cs="仿宋"/>
          <w:b/>
          <w:sz w:val="24"/>
        </w:rPr>
      </w:pPr>
    </w:p>
    <w:p>
      <w:pPr>
        <w:pStyle w:val="3"/>
        <w:numPr>
          <w:ilvl w:val="0"/>
          <w:numId w:val="2"/>
        </w:numPr>
      </w:pPr>
      <w:bookmarkStart w:id="36" w:name="_Toc19972"/>
      <w:bookmarkStart w:id="37" w:name="_Toc10904"/>
      <w:r>
        <w:rPr>
          <w:rFonts w:hint="eastAsia"/>
        </w:rPr>
        <w:t>其他有必要的资质及补充资料</w:t>
      </w:r>
      <w:bookmarkEnd w:id="36"/>
      <w:bookmarkEnd w:id="37"/>
    </w:p>
    <w:p>
      <w:pPr>
        <w:pStyle w:val="11"/>
        <w:spacing w:line="560" w:lineRule="exact"/>
        <w:rPr>
          <w:rFonts w:ascii="仿宋" w:hAnsi="仿宋" w:eastAsia="仿宋"/>
          <w:color w:val="auto"/>
        </w:rPr>
      </w:pPr>
      <w:r>
        <w:rPr>
          <w:rFonts w:hint="eastAsia" w:ascii="仿宋" w:hAnsi="仿宋" w:eastAsia="仿宋"/>
          <w:color w:val="auto"/>
        </w:rPr>
        <w:t>如：企业简介、重大获奖证书等</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7B3E3CB1"/>
    <w:rsid w:val="5A5B044A"/>
    <w:rsid w:val="7B3E3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Theme="minorEastAsia" w:cstheme="minorBidi"/>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0">
    <w:name w:val="List Paragraph"/>
    <w:basedOn w:val="1"/>
    <w:autoRedefine/>
    <w:qFormat/>
    <w:uiPriority w:val="0"/>
    <w:pPr>
      <w:ind w:firstLine="420"/>
    </w:pPr>
  </w:style>
  <w:style w:type="paragraph" w:customStyle="1" w:styleId="11">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2024-04-03T09:09:00Z</dcterms:created>
  <dc:creator>小小强</dc:creator>
  <cp:lastModifiedBy>小小强</cp:lastModifiedBy>
  <dcterms:modified xsi:type="dcterms:W3CDTF">2024-04-03T09:10:52Z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8A192C8A420743459BB7B758989B35C4_11</vt:lpwstr>
  </property>
</Properties>
</file>