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spacing w:line="400" w:lineRule="exact"/>
        <w:jc w:val="center"/>
        <w:rPr>
          <w:rFonts w:hint="eastAsia" w:ascii="Times New Roman" w:hAnsi="Times New Roman"/>
          <w:b/>
          <w:bCs/>
          <w:caps w:val="0"/>
          <w:sz w:val="28"/>
          <w:szCs w:val="28"/>
        </w:rPr>
      </w:pPr>
      <w:r>
        <w:rPr>
          <w:rFonts w:hint="eastAsia" w:ascii="Times New Roman" w:hAnsi="Times New Roman"/>
          <w:b/>
          <w:bCs/>
          <w:caps w:val="0"/>
          <w:sz w:val="28"/>
          <w:szCs w:val="28"/>
        </w:rPr>
        <w:t>舍得酒业股份有限公司</w:t>
      </w:r>
    </w:p>
    <w:p>
      <w:pPr>
        <w:pStyle w:val="12"/>
        <w:spacing w:line="400" w:lineRule="exact"/>
        <w:jc w:val="center"/>
        <w:rPr>
          <w:rFonts w:hint="eastAsia" w:ascii="Times New Roman" w:hAnsi="Times New Roman" w:eastAsia="宋体"/>
          <w:b/>
          <w:bCs/>
          <w:caps w:val="0"/>
          <w:sz w:val="28"/>
          <w:szCs w:val="28"/>
          <w:lang w:eastAsia="zh-CN"/>
        </w:rPr>
      </w:pPr>
      <w:r>
        <w:rPr>
          <w:rFonts w:hint="eastAsia" w:ascii="Times New Roman" w:hAnsi="Times New Roman"/>
          <w:b/>
          <w:bCs/>
          <w:caps w:val="0"/>
          <w:sz w:val="28"/>
          <w:szCs w:val="28"/>
        </w:rPr>
        <w:t xml:space="preserve">    </w:t>
      </w:r>
      <w:r>
        <w:rPr>
          <w:rFonts w:hint="eastAsia" w:ascii="Times New Roman" w:hAnsi="Times New Roman"/>
          <w:b/>
          <w:bCs/>
          <w:caps w:val="0"/>
          <w:sz w:val="28"/>
          <w:szCs w:val="28"/>
          <w:lang w:eastAsia="zh-CN"/>
        </w:rPr>
        <w:t xml:space="preserve"> 沱牌舍得老酒品鉴中心项目施工总承包</w:t>
      </w:r>
    </w:p>
    <w:p>
      <w:pPr>
        <w:pStyle w:val="12"/>
        <w:spacing w:line="400" w:lineRule="exact"/>
        <w:jc w:val="center"/>
        <w:rPr>
          <w:rFonts w:ascii="Times New Roman" w:hAnsi="Times New Roman"/>
          <w:b/>
          <w:bCs/>
          <w:caps w:val="0"/>
          <w:sz w:val="28"/>
          <w:szCs w:val="28"/>
        </w:rPr>
      </w:pPr>
      <w:r>
        <w:rPr>
          <w:rFonts w:hint="eastAsia" w:ascii="Times New Roman" w:hAnsi="Times New Roman"/>
          <w:b/>
          <w:bCs/>
          <w:caps w:val="0"/>
          <w:sz w:val="28"/>
          <w:szCs w:val="28"/>
        </w:rPr>
        <w:t>招标公告</w:t>
      </w:r>
    </w:p>
    <w:p>
      <w:pPr>
        <w:pStyle w:val="12"/>
        <w:jc w:val="center"/>
        <w:rPr>
          <w:rFonts w:ascii="Times New Roman" w:hAnsi="Times New Roman"/>
          <w:caps w:val="0"/>
        </w:rPr>
      </w:pPr>
      <w:r>
        <w:rPr>
          <w:rFonts w:hint="eastAsia" w:ascii="Times New Roman" w:hAnsi="Times New Roman"/>
          <w:caps w:val="0"/>
        </w:rPr>
        <w:t>舍司招（202</w:t>
      </w:r>
      <w:r>
        <w:rPr>
          <w:rFonts w:hint="eastAsia" w:ascii="Times New Roman" w:hAnsi="Times New Roman"/>
          <w:caps w:val="0"/>
          <w:lang w:val="en-US" w:eastAsia="zh-CN"/>
        </w:rPr>
        <w:t>4</w:t>
      </w:r>
      <w:r>
        <w:rPr>
          <w:rFonts w:hint="eastAsia" w:ascii="Times New Roman" w:hAnsi="Times New Roman"/>
          <w:caps w:val="0"/>
        </w:rPr>
        <w:t>）ZC</w:t>
      </w:r>
      <w:r>
        <w:rPr>
          <w:rFonts w:hint="eastAsia" w:ascii="Times New Roman" w:hAnsi="Times New Roman"/>
          <w:caps w:val="0"/>
          <w:lang w:val="en-US" w:eastAsia="zh-CN"/>
        </w:rPr>
        <w:t>2</w:t>
      </w:r>
      <w:r>
        <w:rPr>
          <w:rFonts w:hint="eastAsia" w:ascii="Times New Roman" w:hAnsi="Times New Roman"/>
          <w:caps w:val="0"/>
        </w:rPr>
        <w:t>-</w:t>
      </w:r>
      <w:r>
        <w:rPr>
          <w:rFonts w:hint="eastAsia" w:ascii="Times New Roman" w:hAnsi="Times New Roman"/>
          <w:caps w:val="0"/>
          <w:lang w:val="en-US" w:eastAsia="zh-CN"/>
        </w:rPr>
        <w:t>013</w:t>
      </w:r>
      <w:r>
        <w:rPr>
          <w:rFonts w:hint="eastAsia" w:ascii="Times New Roman" w:hAnsi="Times New Roman"/>
          <w:caps w:val="0"/>
        </w:rPr>
        <w:t>号</w:t>
      </w:r>
    </w:p>
    <w:p>
      <w:pPr>
        <w:pStyle w:val="12"/>
        <w:spacing w:line="460" w:lineRule="exact"/>
        <w:rPr>
          <w:rFonts w:ascii="Times New Roman" w:hAnsi="Times New Roman"/>
          <w:b/>
          <w:bCs/>
          <w:caps w:val="0"/>
          <w:sz w:val="24"/>
        </w:rPr>
      </w:pPr>
      <w:bookmarkStart w:id="0" w:name="_Toc720"/>
      <w:r>
        <w:rPr>
          <w:rFonts w:hint="eastAsia" w:ascii="Times New Roman" w:hAnsi="Times New Roman"/>
          <w:b/>
          <w:bCs/>
          <w:caps w:val="0"/>
          <w:sz w:val="24"/>
        </w:rPr>
        <w:t>1．招标条件</w:t>
      </w:r>
      <w:bookmarkEnd w:id="0"/>
    </w:p>
    <w:p>
      <w:pPr>
        <w:spacing w:line="460" w:lineRule="exact"/>
        <w:ind w:firstLine="480"/>
        <w:jc w:val="left"/>
        <w:textAlignment w:val="auto"/>
        <w:rPr>
          <w:rFonts w:ascii="Times New Roman" w:hAnsi="Times New Roman" w:cs="微软雅黑"/>
          <w:caps w:val="0"/>
          <w:sz w:val="24"/>
        </w:rPr>
      </w:pPr>
      <w:bookmarkStart w:id="1" w:name="_Toc14033"/>
      <w:r>
        <w:rPr>
          <w:rFonts w:hint="eastAsia" w:ascii="Times New Roman" w:hAnsi="Times New Roman" w:cs="微软雅黑"/>
          <w:caps w:val="0"/>
          <w:sz w:val="24"/>
        </w:rPr>
        <w:t>本招标项目</w:t>
      </w:r>
      <w:r>
        <w:rPr>
          <w:rFonts w:hint="eastAsia" w:cs="微软雅黑"/>
          <w:caps w:val="0"/>
          <w:sz w:val="24"/>
          <w:u w:val="single"/>
          <w:lang w:eastAsia="zh-CN"/>
        </w:rPr>
        <w:t xml:space="preserve"> 沱牌舍得老酒品鉴中心项目施工总承包</w:t>
      </w:r>
      <w:r>
        <w:rPr>
          <w:rFonts w:hint="eastAsia" w:ascii="Times New Roman" w:hAnsi="Times New Roman" w:cs="微软雅黑"/>
          <w:caps w:val="0"/>
          <w:sz w:val="24"/>
        </w:rPr>
        <w:t xml:space="preserve">已由 </w:t>
      </w:r>
      <w:r>
        <w:rPr>
          <w:rFonts w:hint="eastAsia" w:ascii="Times New Roman" w:hAnsi="Times New Roman" w:cs="微软雅黑"/>
          <w:caps w:val="0"/>
          <w:sz w:val="24"/>
          <w:u w:val="single"/>
        </w:rPr>
        <w:t>舍得酒业股份有限公司</w:t>
      </w:r>
      <w:r>
        <w:rPr>
          <w:rFonts w:hint="eastAsia" w:ascii="Times New Roman" w:hAnsi="Times New Roman" w:cs="微软雅黑"/>
          <w:caps w:val="0"/>
          <w:sz w:val="24"/>
        </w:rPr>
        <w:t>批准建设。招标人为</w:t>
      </w:r>
      <w:bookmarkStart w:id="2" w:name="_Hlk51439236"/>
      <w:r>
        <w:rPr>
          <w:rFonts w:hint="eastAsia" w:ascii="Times New Roman" w:hAnsi="Times New Roman" w:cs="微软雅黑"/>
          <w:caps w:val="0"/>
          <w:sz w:val="24"/>
          <w:u w:val="single"/>
        </w:rPr>
        <w:t>舍得酒业股份有限公司</w:t>
      </w:r>
      <w:bookmarkEnd w:id="2"/>
      <w:r>
        <w:rPr>
          <w:rFonts w:hint="eastAsia" w:ascii="Times New Roman" w:hAnsi="Times New Roman" w:cs="微软雅黑"/>
          <w:caps w:val="0"/>
          <w:sz w:val="24"/>
        </w:rPr>
        <w:t>，资金来源为</w:t>
      </w:r>
      <w:r>
        <w:rPr>
          <w:rFonts w:hint="eastAsia" w:ascii="Times New Roman" w:hAnsi="Times New Roman" w:cs="微软雅黑"/>
          <w:caps w:val="0"/>
          <w:sz w:val="24"/>
          <w:u w:val="single"/>
        </w:rPr>
        <w:t>企业自筹</w:t>
      </w:r>
      <w:r>
        <w:rPr>
          <w:rFonts w:hint="eastAsia" w:ascii="Times New Roman" w:hAnsi="Times New Roman" w:cs="微软雅黑"/>
          <w:caps w:val="0"/>
          <w:sz w:val="24"/>
        </w:rPr>
        <w:t>，出资比例</w:t>
      </w:r>
      <w:r>
        <w:rPr>
          <w:rFonts w:hint="eastAsia" w:ascii="Times New Roman" w:hAnsi="Times New Roman" w:cs="微软雅黑"/>
          <w:caps w:val="0"/>
          <w:sz w:val="24"/>
          <w:u w:val="single"/>
        </w:rPr>
        <w:t>100%</w:t>
      </w:r>
      <w:r>
        <w:rPr>
          <w:rFonts w:hint="eastAsia" w:ascii="Times New Roman" w:hAnsi="Times New Roman" w:cs="微软雅黑"/>
          <w:caps w:val="0"/>
          <w:sz w:val="24"/>
        </w:rPr>
        <w:t>，项目已具备招标条件，现对该项目的</w:t>
      </w:r>
      <w:r>
        <w:rPr>
          <w:rFonts w:hint="eastAsia" w:ascii="Times New Roman" w:hAnsi="Times New Roman" w:cs="微软雅黑"/>
          <w:caps w:val="0"/>
          <w:sz w:val="24"/>
          <w:u w:val="single"/>
        </w:rPr>
        <w:t>建筑工程施工总承包</w:t>
      </w:r>
      <w:r>
        <w:rPr>
          <w:rFonts w:hint="eastAsia" w:ascii="Times New Roman" w:hAnsi="Times New Roman" w:cs="微软雅黑"/>
          <w:caps w:val="0"/>
          <w:sz w:val="24"/>
        </w:rPr>
        <w:t>进行公开招标。</w:t>
      </w:r>
    </w:p>
    <w:p>
      <w:pPr>
        <w:pStyle w:val="12"/>
        <w:spacing w:line="460" w:lineRule="exact"/>
        <w:rPr>
          <w:rFonts w:ascii="Times New Roman" w:hAnsi="Times New Roman"/>
          <w:b/>
          <w:bCs/>
          <w:caps w:val="0"/>
          <w:sz w:val="24"/>
        </w:rPr>
      </w:pPr>
      <w:r>
        <w:rPr>
          <w:rFonts w:hint="eastAsia" w:ascii="Times New Roman" w:hAnsi="Times New Roman"/>
          <w:b/>
          <w:bCs/>
          <w:caps w:val="0"/>
          <w:sz w:val="24"/>
        </w:rPr>
        <w:t>2．项目概况与招标范围</w:t>
      </w:r>
      <w:bookmarkEnd w:id="1"/>
    </w:p>
    <w:p>
      <w:pPr>
        <w:snapToGrid w:val="0"/>
        <w:spacing w:line="460" w:lineRule="exact"/>
        <w:ind w:firstLine="480"/>
        <w:rPr>
          <w:rFonts w:hint="eastAsia" w:ascii="宋体" w:hAnsi="宋体" w:cs="仿宋_GB2312"/>
          <w:snapToGrid w:val="0"/>
          <w:color w:val="auto"/>
          <w:kern w:val="0"/>
          <w:sz w:val="24"/>
          <w:highlight w:val="none"/>
          <w:lang w:eastAsia="zh-CN"/>
        </w:rPr>
      </w:pPr>
      <w:r>
        <w:rPr>
          <w:rFonts w:hint="eastAsia" w:ascii="宋体" w:hAnsi="宋体" w:cs="仿宋_GB2312"/>
          <w:snapToGrid w:val="0"/>
          <w:color w:val="auto"/>
          <w:kern w:val="0"/>
          <w:sz w:val="24"/>
          <w:highlight w:val="none"/>
        </w:rPr>
        <w:t>2.1项目名称：</w:t>
      </w:r>
      <w:r>
        <w:rPr>
          <w:rFonts w:hint="eastAsia" w:ascii="Times New Roman" w:hAnsi="Times New Roman"/>
          <w:b/>
          <w:bCs/>
          <w:caps w:val="0"/>
          <w:sz w:val="28"/>
          <w:szCs w:val="28"/>
          <w:lang w:eastAsia="zh-CN"/>
        </w:rPr>
        <w:t xml:space="preserve"> </w:t>
      </w:r>
      <w:r>
        <w:rPr>
          <w:rFonts w:hint="eastAsia" w:ascii="宋体" w:hAnsi="宋体" w:cs="仿宋_GB2312"/>
          <w:snapToGrid w:val="0"/>
          <w:color w:val="auto"/>
          <w:kern w:val="0"/>
          <w:sz w:val="24"/>
          <w:highlight w:val="none"/>
          <w:lang w:eastAsia="zh-CN"/>
        </w:rPr>
        <w:t>沱牌舍得老酒品鉴中心</w:t>
      </w:r>
    </w:p>
    <w:p>
      <w:pPr>
        <w:snapToGrid w:val="0"/>
        <w:spacing w:line="460" w:lineRule="exact"/>
        <w:ind w:firstLine="480"/>
        <w:rPr>
          <w:rFonts w:hint="eastAsia" w:ascii="宋体" w:hAnsi="宋体" w:cs="仿宋_GB2312"/>
          <w:snapToGrid w:val="0"/>
          <w:color w:val="auto"/>
          <w:kern w:val="0"/>
          <w:sz w:val="24"/>
          <w:highlight w:val="none"/>
        </w:rPr>
      </w:pPr>
      <w:r>
        <w:rPr>
          <w:rFonts w:hint="eastAsia" w:ascii="宋体" w:hAnsi="宋体" w:cs="仿宋_GB2312"/>
          <w:snapToGrid w:val="0"/>
          <w:color w:val="auto"/>
          <w:kern w:val="0"/>
          <w:sz w:val="24"/>
          <w:highlight w:val="none"/>
        </w:rPr>
        <w:t>2.2项目地址：四川省射洪市沱牌镇舍得酒业股份有限公司厂区。</w:t>
      </w:r>
    </w:p>
    <w:p>
      <w:pPr>
        <w:snapToGrid w:val="0"/>
        <w:spacing w:line="460" w:lineRule="exact"/>
        <w:ind w:firstLine="480"/>
        <w:rPr>
          <w:rFonts w:hint="eastAsia" w:ascii="宋体" w:hAnsi="宋体" w:cs="仿宋_GB2312"/>
          <w:snapToGrid w:val="0"/>
          <w:color w:val="auto"/>
          <w:kern w:val="0"/>
          <w:sz w:val="24"/>
          <w:highlight w:val="none"/>
        </w:rPr>
      </w:pPr>
      <w:bookmarkStart w:id="3" w:name="_Toc31566"/>
      <w:r>
        <w:rPr>
          <w:rFonts w:hint="eastAsia" w:ascii="宋体" w:hAnsi="宋体" w:cs="仿宋_GB2312"/>
          <w:snapToGrid w:val="0"/>
          <w:color w:val="auto"/>
          <w:kern w:val="0"/>
          <w:sz w:val="24"/>
          <w:highlight w:val="none"/>
        </w:rPr>
        <w:t>2.3 建设单位: 舍得酒业股份有限公司</w:t>
      </w:r>
    </w:p>
    <w:p>
      <w:pPr>
        <w:spacing w:line="360" w:lineRule="auto"/>
        <w:ind w:right="6" w:firstLine="480" w:firstLineChars="200"/>
        <w:jc w:val="left"/>
        <w:rPr>
          <w:rFonts w:hint="eastAsia" w:ascii="宋体" w:hAnsi="宋体" w:cs="仿宋_GB2312"/>
          <w:snapToGrid w:val="0"/>
          <w:color w:val="auto"/>
          <w:kern w:val="0"/>
          <w:sz w:val="24"/>
          <w:highlight w:val="none"/>
        </w:rPr>
      </w:pPr>
      <w:r>
        <w:rPr>
          <w:rFonts w:hint="eastAsia" w:ascii="宋体" w:hAnsi="宋体" w:cs="仿宋_GB2312"/>
          <w:snapToGrid w:val="0"/>
          <w:color w:val="auto"/>
          <w:kern w:val="0"/>
          <w:sz w:val="24"/>
          <w:highlight w:val="none"/>
        </w:rPr>
        <w:t>2.</w:t>
      </w:r>
      <w:r>
        <w:rPr>
          <w:rFonts w:hint="eastAsia" w:ascii="宋体" w:hAnsi="宋体" w:cs="仿宋_GB2312"/>
          <w:snapToGrid w:val="0"/>
          <w:color w:val="auto"/>
          <w:kern w:val="0"/>
          <w:sz w:val="24"/>
          <w:highlight w:val="none"/>
          <w:lang w:val="en-US" w:eastAsia="zh-CN"/>
        </w:rPr>
        <w:t>4</w:t>
      </w:r>
      <w:r>
        <w:rPr>
          <w:rFonts w:hint="eastAsia" w:ascii="宋体" w:hAnsi="宋体" w:cs="仿宋_GB2312"/>
          <w:snapToGrid w:val="0"/>
          <w:color w:val="auto"/>
          <w:kern w:val="0"/>
          <w:sz w:val="24"/>
          <w:highlight w:val="none"/>
        </w:rPr>
        <w:t>工程规模</w:t>
      </w:r>
      <w:r>
        <w:rPr>
          <w:rFonts w:hint="eastAsia" w:ascii="宋体" w:hAnsi="宋体" w:eastAsia="宋体" w:cs="仿宋_GB2312"/>
          <w:snapToGrid w:val="0"/>
          <w:color w:val="auto"/>
          <w:kern w:val="0"/>
          <w:sz w:val="24"/>
          <w:highlight w:val="none"/>
        </w:rPr>
        <w:t>：</w:t>
      </w:r>
      <w:r>
        <w:rPr>
          <w:rFonts w:hint="eastAsia" w:ascii="宋体" w:hAnsi="宋体" w:cs="仿宋_GB2312"/>
          <w:snapToGrid w:val="0"/>
          <w:color w:val="auto"/>
          <w:kern w:val="0"/>
          <w:sz w:val="24"/>
          <w:highlight w:val="none"/>
        </w:rPr>
        <w:t>本次设计地上1层，地下1层(局部设置夹层)，建筑主要</w:t>
      </w:r>
      <w:r>
        <w:rPr>
          <w:rFonts w:hint="eastAsia" w:ascii="宋体" w:hAnsi="宋体" w:cs="仿宋_GB2312"/>
          <w:snapToGrid w:val="0"/>
          <w:color w:val="auto"/>
          <w:kern w:val="0"/>
          <w:sz w:val="24"/>
          <w:highlight w:val="none"/>
          <w:lang w:val="en-US" w:eastAsia="zh-CN"/>
        </w:rPr>
        <w:t>用于存储、展陈，该功能</w:t>
      </w:r>
      <w:r>
        <w:rPr>
          <w:rFonts w:hint="eastAsia" w:ascii="宋体" w:hAnsi="宋体" w:cs="仿宋_GB2312"/>
          <w:snapToGrid w:val="0"/>
          <w:color w:val="auto"/>
          <w:kern w:val="0"/>
          <w:sz w:val="24"/>
          <w:highlight w:val="none"/>
        </w:rPr>
        <w:t>均位于地下空间，地上空间均为出入口功能使用。总建筑面积6394.09㎡，计容建筑面积321.81㎡，其中地上建筑面积321.81㎡，地下建筑面积6072.28㎡。</w:t>
      </w:r>
      <w:r>
        <w:rPr>
          <w:rFonts w:hint="eastAsia" w:ascii="宋体" w:hAnsi="宋体" w:cs="仿宋_GB2312"/>
          <w:snapToGrid w:val="0"/>
          <w:color w:val="auto"/>
          <w:kern w:val="0"/>
          <w:sz w:val="24"/>
          <w:highlight w:val="none"/>
          <w:lang w:val="en-US" w:eastAsia="zh-CN"/>
        </w:rPr>
        <w:t>本项目主要使用功能为：</w:t>
      </w:r>
      <w:r>
        <w:rPr>
          <w:rFonts w:hint="eastAsia" w:ascii="宋体" w:hAnsi="宋体" w:cs="仿宋_GB2312"/>
          <w:snapToGrid w:val="0"/>
          <w:color w:val="auto"/>
          <w:kern w:val="0"/>
          <w:sz w:val="24"/>
          <w:highlight w:val="none"/>
        </w:rPr>
        <w:t>一是可填补产研园区文旅封坛酒场景的空白，提升C端游客封藏体验感，助力大坛酒销售</w:t>
      </w:r>
      <w:r>
        <w:rPr>
          <w:rFonts w:hint="eastAsia" w:ascii="宋体" w:hAnsi="宋体" w:cs="仿宋_GB2312"/>
          <w:snapToGrid w:val="0"/>
          <w:color w:val="auto"/>
          <w:kern w:val="0"/>
          <w:sz w:val="24"/>
          <w:highlight w:val="none"/>
          <w:lang w:eastAsia="zh-CN"/>
        </w:rPr>
        <w:t>；</w:t>
      </w:r>
      <w:r>
        <w:rPr>
          <w:rFonts w:hint="eastAsia" w:ascii="宋体" w:hAnsi="宋体" w:cs="仿宋_GB2312"/>
          <w:snapToGrid w:val="0"/>
          <w:color w:val="auto"/>
          <w:kern w:val="0"/>
          <w:sz w:val="24"/>
          <w:highlight w:val="none"/>
          <w:lang w:val="en-US" w:eastAsia="zh-CN"/>
        </w:rPr>
        <w:t>二是</w:t>
      </w:r>
      <w:r>
        <w:rPr>
          <w:rFonts w:hint="eastAsia" w:ascii="宋体" w:hAnsi="宋体" w:cs="仿宋_GB2312"/>
          <w:snapToGrid w:val="0"/>
          <w:color w:val="auto"/>
          <w:kern w:val="0"/>
          <w:sz w:val="24"/>
          <w:highlight w:val="none"/>
        </w:rPr>
        <w:t>新场景应具有坛装定制酒私藏、展陈、公司大型封藏仪式活动开展、游客参观、网红打卡点</w:t>
      </w:r>
      <w:r>
        <w:rPr>
          <w:rFonts w:hint="eastAsia" w:ascii="宋体" w:hAnsi="宋体" w:eastAsia="宋体" w:cs="宋体"/>
          <w:sz w:val="28"/>
          <w:szCs w:val="28"/>
          <w:highlight w:val="none"/>
          <w:lang w:eastAsia="zh-CN"/>
        </w:rPr>
        <w:t>。</w:t>
      </w:r>
    </w:p>
    <w:p>
      <w:pPr>
        <w:spacing w:line="360" w:lineRule="auto"/>
        <w:ind w:right="6" w:firstLine="480" w:firstLineChars="200"/>
        <w:jc w:val="left"/>
        <w:rPr>
          <w:rFonts w:hint="eastAsia" w:ascii="宋体" w:hAnsi="宋体" w:eastAsia="宋体" w:cs="仿宋_GB2312"/>
          <w:b w:val="0"/>
          <w:bCs w:val="0"/>
          <w:snapToGrid w:val="0"/>
          <w:color w:val="auto"/>
          <w:kern w:val="0"/>
          <w:sz w:val="24"/>
          <w:szCs w:val="24"/>
          <w:highlight w:val="none"/>
          <w:lang w:val="en-US" w:eastAsia="zh-CN" w:bidi="ar-SA"/>
        </w:rPr>
      </w:pPr>
      <w:r>
        <w:rPr>
          <w:rFonts w:hint="eastAsia" w:ascii="宋体" w:hAnsi="宋体" w:eastAsia="宋体" w:cs="仿宋_GB2312"/>
          <w:b w:val="0"/>
          <w:bCs w:val="0"/>
          <w:snapToGrid w:val="0"/>
          <w:color w:val="auto"/>
          <w:kern w:val="0"/>
          <w:sz w:val="24"/>
          <w:highlight w:val="none"/>
          <w:lang w:val="en-US" w:eastAsia="zh-CN"/>
        </w:rPr>
        <w:t>2.5招标范围：</w:t>
      </w:r>
      <w:r>
        <w:rPr>
          <w:rFonts w:hint="eastAsia" w:ascii="宋体" w:hAnsi="宋体" w:cs="仿宋_GB2312"/>
          <w:snapToGrid w:val="0"/>
          <w:color w:val="auto"/>
          <w:kern w:val="0"/>
          <w:sz w:val="24"/>
          <w:highlight w:val="none"/>
          <w:lang w:val="en-US" w:eastAsia="zh-CN"/>
        </w:rPr>
        <w:t>包含</w:t>
      </w:r>
      <w:r>
        <w:rPr>
          <w:rFonts w:hint="eastAsia" w:ascii="宋体" w:hAnsi="宋体" w:eastAsia="宋体" w:cs="仿宋_GB2312"/>
          <w:b w:val="0"/>
          <w:bCs w:val="0"/>
          <w:snapToGrid w:val="0"/>
          <w:color w:val="auto"/>
          <w:kern w:val="0"/>
          <w:sz w:val="24"/>
          <w:szCs w:val="24"/>
          <w:highlight w:val="none"/>
          <w:lang w:val="en-US" w:eastAsia="zh-CN" w:bidi="ar-SA"/>
        </w:rPr>
        <w:t>新建地上1层</w:t>
      </w:r>
      <w:r>
        <w:rPr>
          <w:rFonts w:hint="eastAsia" w:ascii="宋体" w:hAnsi="宋体" w:cs="仿宋_GB2312"/>
          <w:b w:val="0"/>
          <w:bCs w:val="0"/>
          <w:snapToGrid w:val="0"/>
          <w:color w:val="auto"/>
          <w:kern w:val="0"/>
          <w:sz w:val="24"/>
          <w:szCs w:val="24"/>
          <w:highlight w:val="none"/>
          <w:lang w:val="en-US" w:eastAsia="zh-CN" w:bidi="ar-SA"/>
        </w:rPr>
        <w:t>321.81㎡</w:t>
      </w:r>
      <w:r>
        <w:rPr>
          <w:rFonts w:hint="eastAsia" w:ascii="宋体" w:hAnsi="宋体" w:eastAsia="宋体" w:cs="仿宋_GB2312"/>
          <w:b w:val="0"/>
          <w:bCs w:val="0"/>
          <w:snapToGrid w:val="0"/>
          <w:color w:val="auto"/>
          <w:kern w:val="0"/>
          <w:sz w:val="24"/>
          <w:szCs w:val="24"/>
          <w:highlight w:val="none"/>
          <w:lang w:val="en-US" w:eastAsia="zh-CN" w:bidi="ar-SA"/>
        </w:rPr>
        <w:t>，</w:t>
      </w:r>
      <w:r>
        <w:rPr>
          <w:rFonts w:hint="eastAsia" w:ascii="宋体" w:hAnsi="宋体" w:cs="仿宋_GB2312"/>
          <w:b w:val="0"/>
          <w:bCs w:val="0"/>
          <w:snapToGrid w:val="0"/>
          <w:color w:val="auto"/>
          <w:kern w:val="0"/>
          <w:sz w:val="24"/>
          <w:szCs w:val="24"/>
          <w:highlight w:val="none"/>
          <w:lang w:val="en-US" w:eastAsia="zh-CN" w:bidi="ar-SA"/>
        </w:rPr>
        <w:t>地下1层面积 6072.28㎡ （局部</w:t>
      </w:r>
      <w:r>
        <w:rPr>
          <w:rFonts w:hint="eastAsia" w:ascii="宋体" w:hAnsi="宋体" w:eastAsia="宋体" w:cs="仿宋_GB2312"/>
          <w:b w:val="0"/>
          <w:bCs w:val="0"/>
          <w:snapToGrid w:val="0"/>
          <w:color w:val="auto"/>
          <w:kern w:val="0"/>
          <w:sz w:val="24"/>
          <w:szCs w:val="24"/>
          <w:highlight w:val="none"/>
          <w:lang w:val="en-US" w:eastAsia="zh-CN" w:bidi="ar-SA"/>
        </w:rPr>
        <w:t>2层</w:t>
      </w:r>
      <w:r>
        <w:rPr>
          <w:rFonts w:hint="eastAsia" w:ascii="宋体" w:hAnsi="宋体" w:cs="仿宋_GB2312"/>
          <w:b w:val="0"/>
          <w:bCs w:val="0"/>
          <w:snapToGrid w:val="0"/>
          <w:color w:val="auto"/>
          <w:kern w:val="0"/>
          <w:sz w:val="24"/>
          <w:szCs w:val="24"/>
          <w:highlight w:val="none"/>
          <w:lang w:val="en-US" w:eastAsia="zh-CN" w:bidi="ar-SA"/>
        </w:rPr>
        <w:t>面积621㎡）</w:t>
      </w:r>
      <w:r>
        <w:rPr>
          <w:rFonts w:hint="eastAsia" w:ascii="宋体" w:hAnsi="宋体" w:eastAsia="宋体" w:cs="仿宋_GB2312"/>
          <w:b w:val="0"/>
          <w:bCs w:val="0"/>
          <w:snapToGrid w:val="0"/>
          <w:color w:val="auto"/>
          <w:kern w:val="0"/>
          <w:sz w:val="24"/>
          <w:szCs w:val="24"/>
          <w:highlight w:val="none"/>
          <w:lang w:val="en-US" w:eastAsia="zh-CN" w:bidi="ar-SA"/>
        </w:rPr>
        <w:t>的多层建筑，施工图范围内基础施工及主体施工。</w:t>
      </w:r>
      <w:r>
        <w:rPr>
          <w:rFonts w:hint="eastAsia" w:ascii="宋体" w:hAnsi="宋体" w:cs="仿宋_GB2312"/>
          <w:b w:val="0"/>
          <w:bCs w:val="0"/>
          <w:snapToGrid w:val="0"/>
          <w:color w:val="auto"/>
          <w:kern w:val="0"/>
          <w:sz w:val="24"/>
          <w:szCs w:val="24"/>
          <w:highlight w:val="none"/>
          <w:lang w:val="en-US" w:eastAsia="zh-CN" w:bidi="ar-SA"/>
        </w:rPr>
        <w:t>主要施工内容包含土方开挖、建筑基础、新建主体结构、二次结构、建筑外立面、防水工程、高低压配电工程、室内外立管给排水工程采购等工程内容</w:t>
      </w:r>
      <w:r>
        <w:rPr>
          <w:rFonts w:hint="eastAsia" w:ascii="宋体" w:hAnsi="宋体" w:eastAsia="宋体" w:cs="仿宋_GB2312"/>
          <w:b w:val="0"/>
          <w:bCs w:val="0"/>
          <w:snapToGrid w:val="0"/>
          <w:color w:val="auto"/>
          <w:kern w:val="0"/>
          <w:sz w:val="24"/>
          <w:szCs w:val="24"/>
          <w:highlight w:val="none"/>
          <w:lang w:val="en-US" w:eastAsia="zh-CN" w:bidi="ar-SA"/>
        </w:rPr>
        <w:t>（包括所提供的施工设计图所示范围内的所有内容，具体以招标人提供的图纸、界面划分表、工程量清单、答疑资料、澄清资料、招标补遗资料、招标人深化设计等相关内容为准。)</w:t>
      </w:r>
      <w:r>
        <w:rPr>
          <w:rFonts w:hint="eastAsia" w:ascii="宋体" w:hAnsi="宋体" w:cs="仿宋_GB2312"/>
          <w:b w:val="0"/>
          <w:bCs w:val="0"/>
          <w:snapToGrid w:val="0"/>
          <w:color w:val="auto"/>
          <w:kern w:val="0"/>
          <w:sz w:val="24"/>
          <w:szCs w:val="24"/>
          <w:highlight w:val="none"/>
          <w:lang w:val="en-US" w:eastAsia="zh-CN" w:bidi="ar-SA"/>
        </w:rPr>
        <w:t>。</w:t>
      </w:r>
    </w:p>
    <w:p>
      <w:pPr>
        <w:adjustRightInd w:val="0"/>
        <w:snapToGrid w:val="0"/>
        <w:spacing w:line="460" w:lineRule="exact"/>
        <w:ind w:firstLine="480" w:firstLineChars="200"/>
        <w:rPr>
          <w:rFonts w:hint="default" w:ascii="宋体" w:hAnsi="宋体" w:cs="宋体"/>
          <w:color w:val="auto"/>
          <w:sz w:val="24"/>
          <w:highlight w:val="yellow"/>
          <w:lang w:val="en-US"/>
        </w:rPr>
      </w:pPr>
      <w:r>
        <w:rPr>
          <w:rFonts w:hint="eastAsia" w:ascii="宋体" w:hAnsi="宋体" w:eastAsia="宋体" w:cs="仿宋_GB2312"/>
          <w:snapToGrid w:val="0"/>
          <w:color w:val="auto"/>
          <w:kern w:val="0"/>
          <w:sz w:val="24"/>
          <w:highlight w:val="none"/>
          <w:lang w:val="en-US" w:eastAsia="zh-CN"/>
        </w:rPr>
        <w:t>本项目的招标对象为本项目的总包单位，总包单位工作内容包括《老酒品鉴中心土建总包界面划分》约定属于总包职责及承建范围的全部施工图内容，主要包含但不限于如下内容：（1）土建及装饰工作：室内外所有土石方开挖、回填、换填、夯实、土方平衡（取土、余土处理）。种植土回填由景观单位施工，土建总包单位回填至-0.3米位置；施工期间的硬化道路、土方回填密实度检测；新建建筑的抗浮锚杆、基础筏板、基础配重土、连续梁、独立柱 施工 及为完成施工内容所产生的措施项目，设计图纸所要求的基础垫层、电梯基坑施工，包含图纸所设计的地下基础；主体结构及二次结构、建筑外立面；施工专项方案编制及组织专家论证等；（2）安装工程：室内外给排水系统、室内外给水系统、电气工程、防雷、接地系统：所有室内外建（构）筑物接地、防雷系统（设备接地处预留并出地面50cm，包含第三方检测与证明获取。）</w:t>
      </w:r>
      <w:r>
        <w:rPr>
          <w:rFonts w:hint="eastAsia" w:ascii="宋体" w:hAnsi="宋体" w:cs="仿宋_GB2312"/>
          <w:snapToGrid w:val="0"/>
          <w:color w:val="auto"/>
          <w:kern w:val="0"/>
          <w:sz w:val="24"/>
          <w:highlight w:val="none"/>
          <w:lang w:val="en-US" w:eastAsia="zh-CN"/>
        </w:rPr>
        <w:t>采购</w:t>
      </w:r>
      <w:r>
        <w:rPr>
          <w:rFonts w:hint="eastAsia" w:ascii="宋体" w:hAnsi="宋体" w:eastAsia="宋体" w:cs="仿宋_GB2312"/>
          <w:snapToGrid w:val="0"/>
          <w:color w:val="auto"/>
          <w:kern w:val="0"/>
          <w:sz w:val="24"/>
          <w:highlight w:val="none"/>
          <w:lang w:val="en-US" w:eastAsia="zh-CN"/>
        </w:rPr>
        <w:t>等</w:t>
      </w:r>
      <w:r>
        <w:rPr>
          <w:rFonts w:hint="eastAsia" w:ascii="宋体" w:hAnsi="宋体" w:eastAsia="宋体" w:cs="宋体"/>
          <w:color w:val="auto"/>
          <w:sz w:val="24"/>
          <w:highlight w:val="none"/>
          <w:lang w:val="en-US" w:eastAsia="zh-CN"/>
        </w:rPr>
        <w:t>（3）其它工作：</w:t>
      </w:r>
      <w:r>
        <w:rPr>
          <w:rFonts w:hint="eastAsia" w:ascii="宋体" w:hAnsi="宋体" w:eastAsia="宋体" w:cs="仿宋_GB2312"/>
          <w:snapToGrid w:val="0"/>
          <w:color w:val="auto"/>
          <w:kern w:val="0"/>
          <w:sz w:val="24"/>
          <w:highlight w:val="none"/>
          <w:lang w:val="en-US" w:eastAsia="zh-CN"/>
        </w:rPr>
        <w:t>包含但不限于各施工专项方案编制、组织专家论证；总包界面内施工用水、用电自行安装计量表；配合并预留甲分包单位用水、用电接口；临建设施使用过程中产生的水电费用归总包；安装需符合业主主管部门要求。负责总包施工作业产生的垃圾收集、合规处理。（具体详见《老酒品鉴中心土建总包界面划分》）</w:t>
      </w:r>
    </w:p>
    <w:p>
      <w:pPr>
        <w:spacing w:line="460" w:lineRule="exact"/>
        <w:ind w:right="6" w:firstLine="480" w:firstLineChars="200"/>
        <w:jc w:val="left"/>
        <w:rPr>
          <w:rFonts w:ascii="宋体" w:hAnsi="宋体"/>
          <w:snapToGrid w:val="0"/>
          <w:color w:val="auto"/>
          <w:sz w:val="24"/>
          <w:highlight w:val="none"/>
        </w:rPr>
      </w:pPr>
      <w:r>
        <w:rPr>
          <w:rFonts w:hint="eastAsia" w:ascii="宋体" w:hAnsi="宋体"/>
          <w:snapToGrid w:val="0"/>
          <w:color w:val="auto"/>
          <w:sz w:val="24"/>
          <w:highlight w:val="none"/>
        </w:rPr>
        <w:t>2.</w:t>
      </w:r>
      <w:r>
        <w:rPr>
          <w:rFonts w:hint="eastAsia" w:ascii="宋体" w:hAnsi="宋体"/>
          <w:snapToGrid w:val="0"/>
          <w:color w:val="auto"/>
          <w:sz w:val="24"/>
          <w:highlight w:val="none"/>
          <w:lang w:val="en-US" w:eastAsia="zh-CN"/>
        </w:rPr>
        <w:t>6</w:t>
      </w:r>
      <w:r>
        <w:rPr>
          <w:rFonts w:hint="eastAsia" w:ascii="宋体" w:hAnsi="宋体"/>
          <w:snapToGrid w:val="0"/>
          <w:color w:val="auto"/>
          <w:sz w:val="24"/>
          <w:highlight w:val="none"/>
        </w:rPr>
        <w:t>质量标准：满足现行国家、行业及地方工程施工质量验收标准以及相关专业验收规范合格标准。</w:t>
      </w:r>
    </w:p>
    <w:p>
      <w:pPr>
        <w:pStyle w:val="12"/>
        <w:shd w:val="clear" w:fill="FFFFFF" w:themeFill="background1"/>
        <w:spacing w:line="360" w:lineRule="auto"/>
        <w:ind w:firstLine="480" w:firstLineChars="200"/>
        <w:rPr>
          <w:rFonts w:hint="eastAsia" w:ascii="仿宋" w:hAnsi="仿宋" w:eastAsia="仿宋" w:cs="仿宋"/>
          <w:color w:val="auto"/>
          <w:sz w:val="24"/>
          <w:szCs w:val="24"/>
          <w:highlight w:val="none"/>
        </w:rPr>
      </w:pPr>
      <w:r>
        <w:rPr>
          <w:rFonts w:ascii="宋体" w:hAnsi="宋体"/>
          <w:snapToGrid w:val="0"/>
          <w:color w:val="auto"/>
          <w:sz w:val="24"/>
          <w:highlight w:val="none"/>
        </w:rPr>
        <w:t>2.</w:t>
      </w:r>
      <w:r>
        <w:rPr>
          <w:rFonts w:hint="eastAsia" w:ascii="宋体" w:hAnsi="宋体"/>
          <w:snapToGrid w:val="0"/>
          <w:color w:val="auto"/>
          <w:sz w:val="24"/>
          <w:highlight w:val="none"/>
          <w:lang w:val="en-US" w:eastAsia="zh-CN"/>
        </w:rPr>
        <w:t>7</w:t>
      </w:r>
      <w:r>
        <w:rPr>
          <w:rFonts w:ascii="宋体" w:hAnsi="宋体"/>
          <w:snapToGrid w:val="0"/>
          <w:color w:val="auto"/>
          <w:sz w:val="24"/>
          <w:highlight w:val="none"/>
        </w:rPr>
        <w:t xml:space="preserve"> </w:t>
      </w:r>
      <w:r>
        <w:rPr>
          <w:rFonts w:hint="eastAsia" w:ascii="宋体" w:hAnsi="宋体"/>
          <w:snapToGrid w:val="0"/>
          <w:color w:val="auto"/>
          <w:sz w:val="24"/>
          <w:highlight w:val="none"/>
        </w:rPr>
        <w:t>工期要求：</w:t>
      </w:r>
      <w:r>
        <w:rPr>
          <w:rFonts w:hint="eastAsia" w:ascii="宋体" w:hAnsi="宋体" w:eastAsia="宋体" w:cs="宋体"/>
          <w:sz w:val="24"/>
          <w:szCs w:val="24"/>
          <w:lang w:val="en-US" w:eastAsia="zh-CN"/>
        </w:rPr>
        <w:t>计划</w:t>
      </w:r>
      <w:r>
        <w:rPr>
          <w:rFonts w:hint="eastAsia" w:ascii="宋体" w:hAnsi="宋体" w:eastAsia="宋体" w:cs="宋体"/>
          <w:sz w:val="24"/>
          <w:szCs w:val="24"/>
        </w:rPr>
        <w:t>施工</w:t>
      </w:r>
      <w:r>
        <w:rPr>
          <w:rFonts w:hint="eastAsia" w:ascii="宋体" w:hAnsi="宋体" w:eastAsia="宋体" w:cs="宋体"/>
          <w:sz w:val="24"/>
          <w:szCs w:val="24"/>
          <w:highlight w:val="none"/>
        </w:rPr>
        <w:t>总工期</w:t>
      </w:r>
      <w:r>
        <w:rPr>
          <w:rFonts w:hint="eastAsia" w:ascii="宋体" w:hAnsi="宋体" w:cs="宋体"/>
          <w:sz w:val="24"/>
          <w:szCs w:val="24"/>
          <w:highlight w:val="none"/>
          <w:lang w:val="en-US" w:eastAsia="zh-CN"/>
        </w:rPr>
        <w:t>210个</w:t>
      </w:r>
      <w:r>
        <w:rPr>
          <w:rFonts w:hint="eastAsia" w:ascii="宋体" w:hAnsi="宋体" w:eastAsia="宋体" w:cs="宋体"/>
          <w:sz w:val="24"/>
          <w:szCs w:val="24"/>
          <w:highlight w:val="none"/>
          <w:lang w:val="en-US" w:eastAsia="zh-CN"/>
        </w:rPr>
        <w:t>日历天</w:t>
      </w:r>
      <w:r>
        <w:rPr>
          <w:rFonts w:hint="eastAsia" w:ascii="宋体" w:hAnsi="宋体" w:eastAsia="宋体" w:cs="宋体"/>
          <w:sz w:val="24"/>
          <w:szCs w:val="24"/>
          <w:lang w:val="en-US" w:eastAsia="zh-CN"/>
        </w:rPr>
        <w:t>，具体开工日期</w:t>
      </w:r>
      <w:r>
        <w:rPr>
          <w:rFonts w:hint="eastAsia" w:ascii="宋体" w:hAnsi="宋体" w:eastAsia="宋体" w:cs="宋体"/>
          <w:sz w:val="24"/>
          <w:szCs w:val="24"/>
        </w:rPr>
        <w:t>以监理出具开工令日期为准。</w:t>
      </w:r>
    </w:p>
    <w:p>
      <w:pPr>
        <w:adjustRightInd w:val="0"/>
        <w:snapToGrid w:val="0"/>
        <w:spacing w:line="460" w:lineRule="exact"/>
        <w:ind w:firstLine="480" w:firstLineChars="200"/>
        <w:rPr>
          <w:rFonts w:ascii="宋体" w:hAnsi="宋体"/>
          <w:snapToGrid w:val="0"/>
          <w:color w:val="auto"/>
          <w:sz w:val="24"/>
          <w:highlight w:val="none"/>
        </w:rPr>
      </w:pPr>
      <w:r>
        <w:rPr>
          <w:rFonts w:ascii="宋体" w:hAnsi="宋体"/>
          <w:snapToGrid w:val="0"/>
          <w:color w:val="auto"/>
          <w:sz w:val="24"/>
          <w:highlight w:val="none"/>
        </w:rPr>
        <w:t>2.</w:t>
      </w:r>
      <w:r>
        <w:rPr>
          <w:rFonts w:hint="eastAsia" w:ascii="宋体" w:hAnsi="宋体"/>
          <w:snapToGrid w:val="0"/>
          <w:color w:val="auto"/>
          <w:sz w:val="24"/>
          <w:highlight w:val="none"/>
          <w:lang w:val="en-US" w:eastAsia="zh-CN"/>
        </w:rPr>
        <w:t>8</w:t>
      </w:r>
      <w:r>
        <w:rPr>
          <w:rFonts w:hint="eastAsia" w:ascii="宋体" w:hAnsi="宋体"/>
          <w:snapToGrid w:val="0"/>
          <w:color w:val="auto"/>
          <w:sz w:val="24"/>
          <w:highlight w:val="none"/>
        </w:rPr>
        <w:t>缺陷责任期：主体结构永久，其他</w:t>
      </w:r>
      <w:r>
        <w:rPr>
          <w:rFonts w:ascii="宋体" w:hAnsi="宋体"/>
          <w:snapToGrid w:val="0"/>
          <w:color w:val="auto"/>
          <w:sz w:val="24"/>
          <w:highlight w:val="none"/>
        </w:rPr>
        <w:t>36</w:t>
      </w:r>
      <w:r>
        <w:rPr>
          <w:rFonts w:hint="eastAsia" w:ascii="宋体" w:hAnsi="宋体"/>
          <w:snapToGrid w:val="0"/>
          <w:color w:val="auto"/>
          <w:sz w:val="24"/>
          <w:highlight w:val="none"/>
        </w:rPr>
        <w:t xml:space="preserve"> 个月。</w:t>
      </w:r>
    </w:p>
    <w:p>
      <w:pPr>
        <w:pStyle w:val="12"/>
        <w:spacing w:line="460" w:lineRule="exact"/>
        <w:rPr>
          <w:rFonts w:ascii="Times New Roman" w:hAnsi="Times New Roman"/>
          <w:b/>
          <w:bCs/>
          <w:caps w:val="0"/>
          <w:sz w:val="24"/>
          <w:highlight w:val="none"/>
        </w:rPr>
      </w:pPr>
      <w:r>
        <w:rPr>
          <w:rFonts w:hint="eastAsia" w:ascii="Times New Roman" w:hAnsi="Times New Roman"/>
          <w:b/>
          <w:bCs/>
          <w:caps w:val="0"/>
          <w:sz w:val="24"/>
          <w:highlight w:val="none"/>
        </w:rPr>
        <w:t>3．投标人资格要求</w:t>
      </w:r>
      <w:bookmarkEnd w:id="3"/>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3.1 投标人须是具有独立法人资格并依法取得企业营业执照，且注册资本不少于</w:t>
      </w:r>
      <w:r>
        <w:rPr>
          <w:rFonts w:hint="eastAsia" w:ascii="宋体" w:hAnsi="宋体" w:cs="Times New Roman"/>
          <w:snapToGrid w:val="0"/>
          <w:color w:val="auto"/>
          <w:sz w:val="24"/>
          <w:highlight w:val="none"/>
          <w:lang w:val="en-US" w:eastAsia="zh-CN"/>
        </w:rPr>
        <w:t>8</w:t>
      </w:r>
      <w:r>
        <w:rPr>
          <w:rFonts w:hint="eastAsia" w:ascii="宋体" w:hAnsi="宋体" w:eastAsia="宋体" w:cs="Times New Roman"/>
          <w:snapToGrid w:val="0"/>
          <w:color w:val="auto"/>
          <w:sz w:val="24"/>
          <w:highlight w:val="none"/>
          <w:lang w:val="en-US" w:eastAsia="zh-CN"/>
        </w:rPr>
        <w:t>0</w:t>
      </w:r>
      <w:r>
        <w:rPr>
          <w:rFonts w:hint="eastAsia" w:ascii="宋体" w:hAnsi="宋体" w:eastAsia="宋体" w:cs="Times New Roman"/>
          <w:snapToGrid w:val="0"/>
          <w:color w:val="auto"/>
          <w:sz w:val="24"/>
          <w:highlight w:val="none"/>
        </w:rPr>
        <w:t>00万元（其中实缴资本不低于</w:t>
      </w:r>
      <w:r>
        <w:rPr>
          <w:rFonts w:hint="eastAsia" w:ascii="宋体" w:hAnsi="宋体" w:eastAsia="宋体" w:cs="Times New Roman"/>
          <w:snapToGrid w:val="0"/>
          <w:color w:val="auto"/>
          <w:sz w:val="24"/>
          <w:highlight w:val="none"/>
          <w:lang w:val="en-US" w:eastAsia="zh-CN"/>
        </w:rPr>
        <w:t>5000</w:t>
      </w:r>
      <w:r>
        <w:rPr>
          <w:rFonts w:hint="eastAsia" w:ascii="宋体" w:hAnsi="宋体" w:eastAsia="宋体" w:cs="Times New Roman"/>
          <w:snapToGrid w:val="0"/>
          <w:color w:val="auto"/>
          <w:sz w:val="24"/>
          <w:highlight w:val="none"/>
        </w:rPr>
        <w:t>万元）企业营业执照处于有效期。</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3.2 投标人须具备建设行政主管部门颁发的建筑工程施工总承包</w:t>
      </w:r>
      <w:r>
        <w:rPr>
          <w:rFonts w:hint="eastAsia" w:ascii="宋体" w:hAnsi="宋体" w:cs="Times New Roman"/>
          <w:snapToGrid w:val="0"/>
          <w:color w:val="auto"/>
          <w:sz w:val="24"/>
          <w:highlight w:val="none"/>
          <w:lang w:val="en-US" w:eastAsia="zh-CN"/>
        </w:rPr>
        <w:t>一</w:t>
      </w:r>
      <w:r>
        <w:rPr>
          <w:rFonts w:hint="eastAsia" w:ascii="宋体" w:hAnsi="宋体" w:eastAsia="宋体" w:cs="Times New Roman"/>
          <w:snapToGrid w:val="0"/>
          <w:color w:val="auto"/>
          <w:sz w:val="24"/>
          <w:highlight w:val="none"/>
        </w:rPr>
        <w:t>级及以上资质；同时具备建设行政主管部门颁发的有效的安全生产许可证。</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.3 人员要求：</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3.3.1</w:t>
      </w:r>
      <w:r>
        <w:rPr>
          <w:rFonts w:hint="eastAsia" w:ascii="宋体" w:hAnsi="宋体" w:eastAsia="宋体" w:cs="Times New Roman"/>
          <w:snapToGrid w:val="0"/>
          <w:color w:val="auto"/>
          <w:sz w:val="24"/>
          <w:highlight w:val="none"/>
        </w:rPr>
        <w:t>项目经理1人，投标人拟派的项目经理必须已在投标人本单位注册并应具有建筑工程类</w:t>
      </w:r>
      <w:r>
        <w:rPr>
          <w:rFonts w:hint="eastAsia" w:ascii="宋体" w:hAnsi="宋体" w:eastAsia="宋体" w:cs="Times New Roman"/>
          <w:snapToGrid w:val="0"/>
          <w:color w:val="auto"/>
          <w:sz w:val="24"/>
          <w:highlight w:val="none"/>
          <w:lang w:val="en-US" w:eastAsia="zh-CN"/>
        </w:rPr>
        <w:t>一</w:t>
      </w:r>
      <w:r>
        <w:rPr>
          <w:rFonts w:hint="eastAsia" w:ascii="宋体" w:hAnsi="宋体" w:eastAsia="宋体" w:cs="Times New Roman"/>
          <w:snapToGrid w:val="0"/>
          <w:color w:val="auto"/>
          <w:sz w:val="24"/>
          <w:highlight w:val="none"/>
        </w:rPr>
        <w:t>级注册建造师执业资格</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且至少</w:t>
      </w:r>
      <w:r>
        <w:rPr>
          <w:rFonts w:hint="eastAsia" w:ascii="宋体" w:hAnsi="宋体" w:cs="Times New Roman"/>
          <w:snapToGrid w:val="0"/>
          <w:color w:val="auto"/>
          <w:sz w:val="24"/>
          <w:highlight w:val="none"/>
          <w:lang w:val="en-US" w:eastAsia="zh-CN"/>
        </w:rPr>
        <w:t>有</w:t>
      </w:r>
      <w:r>
        <w:rPr>
          <w:rFonts w:hint="eastAsia" w:ascii="宋体" w:hAnsi="宋体" w:eastAsia="宋体" w:cs="Times New Roman"/>
          <w:snapToGrid w:val="0"/>
          <w:color w:val="auto"/>
          <w:sz w:val="24"/>
          <w:highlight w:val="none"/>
          <w:lang w:val="en-US" w:eastAsia="zh-CN"/>
        </w:rPr>
        <w:t>1个</w:t>
      </w:r>
      <w:r>
        <w:rPr>
          <w:rFonts w:hint="eastAsia" w:ascii="宋体" w:hAnsi="宋体" w:cs="Times New Roman"/>
          <w:snapToGrid w:val="0"/>
          <w:color w:val="auto"/>
          <w:sz w:val="24"/>
          <w:highlight w:val="none"/>
          <w:lang w:val="en-US" w:eastAsia="zh-CN"/>
        </w:rPr>
        <w:t>在</w:t>
      </w:r>
      <w:r>
        <w:rPr>
          <w:rFonts w:hint="eastAsia" w:ascii="宋体" w:hAnsi="宋体" w:eastAsia="宋体" w:cs="Times New Roman"/>
          <w:snapToGrid w:val="0"/>
          <w:color w:val="auto"/>
          <w:sz w:val="24"/>
          <w:highlight w:val="none"/>
        </w:rPr>
        <w:t>全国建筑市场监管公共服务平台</w:t>
      </w:r>
      <w:r>
        <w:rPr>
          <w:rFonts w:hint="eastAsia" w:ascii="宋体" w:hAnsi="宋体" w:cs="Times New Roman"/>
          <w:snapToGrid w:val="0"/>
          <w:color w:val="auto"/>
          <w:sz w:val="24"/>
          <w:highlight w:val="none"/>
          <w:lang w:val="en-US" w:eastAsia="zh-CN"/>
        </w:rPr>
        <w:t>能查询</w:t>
      </w:r>
      <w:r>
        <w:rPr>
          <w:rFonts w:hint="eastAsia" w:ascii="宋体" w:hAnsi="宋体" w:eastAsia="宋体" w:cs="Times New Roman"/>
          <w:snapToGrid w:val="0"/>
          <w:color w:val="auto"/>
          <w:sz w:val="24"/>
          <w:highlight w:val="none"/>
          <w:lang w:val="en-US" w:eastAsia="zh-CN"/>
        </w:rPr>
        <w:t>的建筑</w:t>
      </w:r>
      <w:r>
        <w:rPr>
          <w:rFonts w:hint="eastAsia" w:ascii="宋体" w:hAnsi="宋体" w:eastAsia="宋体" w:cs="Times New Roman"/>
          <w:snapToGrid w:val="0"/>
          <w:color w:val="auto"/>
          <w:sz w:val="24"/>
          <w:highlight w:val="none"/>
        </w:rPr>
        <w:t>项目</w:t>
      </w:r>
      <w:r>
        <w:rPr>
          <w:rFonts w:hint="eastAsia" w:ascii="宋体" w:hAnsi="宋体" w:cs="Times New Roman"/>
          <w:snapToGrid w:val="0"/>
          <w:color w:val="auto"/>
          <w:sz w:val="24"/>
          <w:highlight w:val="none"/>
          <w:lang w:val="en-US" w:eastAsia="zh-CN"/>
        </w:rPr>
        <w:t>业绩</w:t>
      </w:r>
      <w:r>
        <w:rPr>
          <w:rFonts w:hint="eastAsia" w:ascii="宋体" w:hAnsi="宋体" w:eastAsia="宋体" w:cs="Times New Roman"/>
          <w:snapToGrid w:val="0"/>
          <w:color w:val="auto"/>
          <w:sz w:val="24"/>
          <w:highlight w:val="none"/>
          <w:lang w:val="en-US" w:eastAsia="zh-CN"/>
        </w:rPr>
        <w:t>（需提供业绩合同、竣工验收证明材料及</w:t>
      </w:r>
      <w:r>
        <w:rPr>
          <w:rFonts w:hint="eastAsia" w:ascii="宋体" w:hAnsi="宋体" w:eastAsia="宋体" w:cs="Times New Roman"/>
          <w:snapToGrid w:val="0"/>
          <w:color w:val="auto"/>
          <w:sz w:val="24"/>
          <w:highlight w:val="none"/>
        </w:rPr>
        <w:t>全国建筑市场监管公共服务平台</w:t>
      </w:r>
      <w:r>
        <w:rPr>
          <w:rFonts w:hint="eastAsia" w:ascii="宋体" w:hAnsi="宋体" w:eastAsia="宋体" w:cs="Times New Roman"/>
          <w:snapToGrid w:val="0"/>
          <w:color w:val="auto"/>
          <w:sz w:val="24"/>
          <w:highlight w:val="none"/>
          <w:lang w:val="en-US" w:eastAsia="zh-CN"/>
        </w:rPr>
        <w:t>个人工程业绩截图）。</w:t>
      </w:r>
    </w:p>
    <w:p>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lang w:val="en-US" w:eastAsia="zh-CN"/>
        </w:rPr>
        <w:t>.3.2</w:t>
      </w:r>
      <w:r>
        <w:rPr>
          <w:rFonts w:hint="eastAsia" w:ascii="宋体" w:hAnsi="宋体" w:eastAsia="宋体" w:cs="Times New Roman"/>
          <w:snapToGrid w:val="0"/>
          <w:color w:val="auto"/>
          <w:sz w:val="24"/>
          <w:highlight w:val="none"/>
        </w:rPr>
        <w:t>项目技术负责人1人，应具有工程类</w:t>
      </w:r>
      <w:r>
        <w:rPr>
          <w:rFonts w:hint="eastAsia" w:ascii="宋体" w:hAnsi="宋体" w:eastAsia="宋体" w:cs="Times New Roman"/>
          <w:snapToGrid w:val="0"/>
          <w:color w:val="auto"/>
          <w:sz w:val="24"/>
          <w:highlight w:val="none"/>
          <w:lang w:val="en-US" w:eastAsia="zh-CN"/>
        </w:rPr>
        <w:t>高</w:t>
      </w:r>
      <w:r>
        <w:rPr>
          <w:rFonts w:hint="eastAsia" w:ascii="宋体" w:hAnsi="宋体" w:eastAsia="宋体" w:cs="Times New Roman"/>
          <w:snapToGrid w:val="0"/>
          <w:color w:val="auto"/>
          <w:sz w:val="24"/>
          <w:highlight w:val="none"/>
        </w:rPr>
        <w:t>级及以上职称</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未承担其它在建工程</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且至少在1个已完工的建筑</w:t>
      </w:r>
      <w:r>
        <w:rPr>
          <w:rFonts w:hint="eastAsia" w:ascii="宋体" w:hAnsi="宋体" w:eastAsia="宋体" w:cs="Times New Roman"/>
          <w:snapToGrid w:val="0"/>
          <w:color w:val="auto"/>
          <w:sz w:val="24"/>
          <w:highlight w:val="none"/>
        </w:rPr>
        <w:t>项目</w:t>
      </w:r>
      <w:r>
        <w:rPr>
          <w:rFonts w:hint="eastAsia" w:ascii="宋体" w:hAnsi="宋体" w:eastAsia="宋体" w:cs="Times New Roman"/>
          <w:snapToGrid w:val="0"/>
          <w:color w:val="auto"/>
          <w:sz w:val="24"/>
          <w:highlight w:val="none"/>
          <w:lang w:val="en-US" w:eastAsia="zh-CN"/>
        </w:rPr>
        <w:t>中担任</w:t>
      </w:r>
      <w:r>
        <w:rPr>
          <w:rFonts w:hint="eastAsia" w:ascii="宋体" w:hAnsi="宋体" w:cs="Times New Roman"/>
          <w:snapToGrid w:val="0"/>
          <w:color w:val="auto"/>
          <w:sz w:val="24"/>
          <w:highlight w:val="none"/>
          <w:lang w:val="en-US" w:eastAsia="zh-CN"/>
        </w:rPr>
        <w:t>过</w:t>
      </w:r>
      <w:r>
        <w:rPr>
          <w:rFonts w:hint="eastAsia" w:ascii="宋体" w:hAnsi="宋体" w:eastAsia="宋体" w:cs="Times New Roman"/>
          <w:snapToGrid w:val="0"/>
          <w:color w:val="auto"/>
          <w:sz w:val="24"/>
          <w:highlight w:val="none"/>
          <w:lang w:val="en-US" w:eastAsia="zh-CN"/>
        </w:rPr>
        <w:t>技术负责人（竣工验收证明材料）</w:t>
      </w:r>
      <w:r>
        <w:rPr>
          <w:rFonts w:hint="eastAsia" w:ascii="宋体" w:hAnsi="宋体" w:eastAsia="宋体" w:cs="Times New Roman"/>
          <w:snapToGrid w:val="0"/>
          <w:color w:val="auto"/>
          <w:sz w:val="24"/>
          <w:highlight w:val="none"/>
          <w:lang w:eastAsia="zh-CN"/>
        </w:rPr>
        <w:t>。</w:t>
      </w:r>
    </w:p>
    <w:p>
      <w:pPr>
        <w:spacing w:line="460" w:lineRule="exact"/>
        <w:ind w:right="6" w:firstLine="480" w:firstLineChars="200"/>
        <w:jc w:val="left"/>
        <w:rPr>
          <w:rFonts w:hint="eastAsia" w:ascii="宋体" w:hAnsi="宋体" w:eastAsia="宋体" w:cs="Times New Roman"/>
          <w:snapToGrid w:val="0"/>
          <w:color w:val="auto"/>
          <w:sz w:val="24"/>
          <w:highlight w:val="none"/>
          <w:lang w:eastAsia="zh-CN"/>
        </w:rPr>
      </w:pPr>
      <w:r>
        <w:rPr>
          <w:rFonts w:hint="eastAsia" w:ascii="宋体" w:hAnsi="宋体" w:eastAsia="宋体" w:cs="Times New Roman"/>
          <w:snapToGrid w:val="0"/>
          <w:color w:val="auto"/>
          <w:sz w:val="24"/>
          <w:highlight w:val="none"/>
          <w:lang w:val="en-US" w:eastAsia="zh-CN"/>
        </w:rPr>
        <w:t>3.3.3</w:t>
      </w:r>
      <w:r>
        <w:rPr>
          <w:rFonts w:hint="eastAsia" w:ascii="宋体" w:hAnsi="宋体" w:eastAsia="宋体" w:cs="Times New Roman"/>
          <w:snapToGrid w:val="0"/>
          <w:color w:val="auto"/>
          <w:sz w:val="24"/>
          <w:highlight w:val="none"/>
        </w:rPr>
        <w:t>施工员、质量员、安全员、造价员</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val="en-US" w:eastAsia="zh-CN"/>
        </w:rPr>
        <w:t>二级及以上职业资格</w:t>
      </w:r>
      <w:r>
        <w:rPr>
          <w:rFonts w:hint="eastAsia" w:ascii="宋体" w:hAnsi="宋体" w:eastAsia="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、材料员、资料员各1人</w:t>
      </w:r>
      <w:r>
        <w:rPr>
          <w:rFonts w:hint="eastAsia" w:ascii="宋体" w:hAnsi="宋体" w:eastAsia="宋体" w:cs="Times New Roman"/>
          <w:snapToGrid w:val="0"/>
          <w:color w:val="auto"/>
          <w:sz w:val="24"/>
          <w:highlight w:val="none"/>
          <w:lang w:eastAsia="zh-CN"/>
        </w:rPr>
        <w:t>。</w:t>
      </w:r>
    </w:p>
    <w:p>
      <w:pPr>
        <w:spacing w:line="460" w:lineRule="exact"/>
        <w:ind w:right="6" w:firstLine="480" w:firstLineChars="200"/>
        <w:jc w:val="left"/>
        <w:rPr>
          <w:rFonts w:hint="default"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3.3.4</w:t>
      </w:r>
      <w:r>
        <w:rPr>
          <w:rFonts w:hint="eastAsia" w:ascii="宋体" w:hAnsi="宋体" w:eastAsia="宋体" w:cs="Times New Roman"/>
          <w:snapToGrid w:val="0"/>
          <w:color w:val="auto"/>
          <w:sz w:val="24"/>
          <w:highlight w:val="none"/>
        </w:rPr>
        <w:t>委托代理人</w:t>
      </w:r>
      <w:r>
        <w:rPr>
          <w:rFonts w:hint="eastAsia" w:ascii="宋体" w:hAnsi="宋体" w:eastAsia="宋体" w:cs="Times New Roman"/>
          <w:snapToGrid w:val="0"/>
          <w:color w:val="auto"/>
          <w:sz w:val="24"/>
          <w:highlight w:val="none"/>
          <w:lang w:val="en-US" w:eastAsia="zh-CN"/>
        </w:rPr>
        <w:t>1人。</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3.3.5</w:t>
      </w:r>
      <w:r>
        <w:rPr>
          <w:rFonts w:hint="eastAsia" w:ascii="宋体" w:hAnsi="宋体" w:eastAsia="宋体" w:cs="Times New Roman"/>
          <w:snapToGrid w:val="0"/>
          <w:color w:val="auto"/>
          <w:sz w:val="24"/>
          <w:highlight w:val="none"/>
        </w:rPr>
        <w:t>以上人员均须是投标单位本单位人员，须提供投标截止日前连续6个月投标人为其缴纳的养老保险证明复印件。否则，将由评标委员会作否决投标处理。</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3.4 </w:t>
      </w:r>
      <w:r>
        <w:rPr>
          <w:rFonts w:hint="eastAsia" w:ascii="宋体" w:hAnsi="宋体" w:eastAsia="宋体" w:cs="Times New Roman"/>
          <w:snapToGrid w:val="0"/>
          <w:color w:val="auto"/>
          <w:sz w:val="24"/>
          <w:highlight w:val="none"/>
          <w:lang w:val="en-US" w:eastAsia="zh-CN"/>
        </w:rPr>
        <w:t>信誉要求：</w:t>
      </w:r>
      <w:r>
        <w:rPr>
          <w:rFonts w:hint="eastAsia" w:ascii="宋体" w:hAnsi="宋体" w:eastAsia="宋体" w:cs="Times New Roman"/>
          <w:snapToGrid w:val="0"/>
          <w:color w:val="auto"/>
          <w:sz w:val="24"/>
          <w:highlight w:val="none"/>
        </w:rPr>
        <w:t>投标人在信用中国（http://www.creditchina.gov.cn）平台上无失信记录。</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3.5 </w:t>
      </w:r>
      <w:r>
        <w:rPr>
          <w:rFonts w:hint="eastAsia" w:ascii="宋体" w:hAnsi="宋体" w:eastAsia="宋体" w:cs="Times New Roman"/>
          <w:snapToGrid w:val="0"/>
          <w:color w:val="auto"/>
          <w:sz w:val="24"/>
          <w:highlight w:val="none"/>
          <w:lang w:val="en-US" w:eastAsia="zh-CN"/>
        </w:rPr>
        <w:t>业绩要求：</w:t>
      </w:r>
      <w:r>
        <w:rPr>
          <w:rFonts w:hint="eastAsia" w:ascii="宋体" w:hAnsi="宋体" w:eastAsia="宋体" w:cs="Times New Roman"/>
          <w:snapToGrid w:val="0"/>
          <w:color w:val="auto"/>
          <w:sz w:val="24"/>
          <w:highlight w:val="none"/>
        </w:rPr>
        <w:t>投标截止日前</w:t>
      </w:r>
      <w:r>
        <w:rPr>
          <w:rFonts w:hint="eastAsia" w:ascii="宋体" w:hAnsi="宋体" w:eastAsia="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年内，指20</w:t>
      </w:r>
      <w:r>
        <w:rPr>
          <w:rFonts w:hint="eastAsia" w:ascii="宋体" w:hAnsi="宋体" w:eastAsia="宋体" w:cs="Times New Roman"/>
          <w:snapToGrid w:val="0"/>
          <w:color w:val="auto"/>
          <w:sz w:val="24"/>
          <w:highlight w:val="none"/>
          <w:lang w:val="en-US" w:eastAsia="zh-CN"/>
        </w:rPr>
        <w:t>2</w:t>
      </w:r>
      <w:r>
        <w:rPr>
          <w:rFonts w:hint="eastAsia" w:ascii="宋体" w:hAnsi="宋体" w:cs="Times New Roman"/>
          <w:snapToGrid w:val="0"/>
          <w:color w:val="auto"/>
          <w:sz w:val="24"/>
          <w:highlight w:val="none"/>
          <w:lang w:val="en-US" w:eastAsia="zh-CN"/>
        </w:rPr>
        <w:t>1</w:t>
      </w:r>
      <w:r>
        <w:rPr>
          <w:rFonts w:hint="eastAsia" w:ascii="宋体" w:hAnsi="宋体" w:eastAsia="宋体" w:cs="Times New Roman"/>
          <w:snapToGrid w:val="0"/>
          <w:color w:val="auto"/>
          <w:sz w:val="24"/>
          <w:highlight w:val="none"/>
        </w:rPr>
        <w:t>年01月01日起至投标截止日止应承担过至少</w:t>
      </w:r>
      <w:r>
        <w:rPr>
          <w:rFonts w:hint="eastAsia" w:ascii="宋体" w:hAnsi="宋体" w:cs="Times New Roman"/>
          <w:snapToGrid w:val="0"/>
          <w:color w:val="auto"/>
          <w:sz w:val="24"/>
          <w:highlight w:val="none"/>
          <w:lang w:val="en-US" w:eastAsia="zh-CN"/>
        </w:rPr>
        <w:t>2</w:t>
      </w:r>
      <w:r>
        <w:rPr>
          <w:rFonts w:hint="eastAsia" w:ascii="宋体" w:hAnsi="宋体" w:eastAsia="宋体" w:cs="Times New Roman"/>
          <w:snapToGrid w:val="0"/>
          <w:color w:val="auto"/>
          <w:sz w:val="24"/>
          <w:highlight w:val="none"/>
        </w:rPr>
        <w:t>个</w:t>
      </w:r>
      <w:r>
        <w:rPr>
          <w:rFonts w:hint="eastAsia" w:ascii="宋体" w:hAnsi="宋体" w:cs="Times New Roman"/>
          <w:snapToGrid w:val="0"/>
          <w:color w:val="auto"/>
          <w:sz w:val="24"/>
          <w:highlight w:val="none"/>
          <w:lang w:eastAsia="zh-CN"/>
        </w:rPr>
        <w:t>（</w:t>
      </w:r>
      <w:r>
        <w:rPr>
          <w:rFonts w:hint="eastAsia" w:ascii="宋体" w:hAnsi="宋体" w:cs="Times New Roman"/>
          <w:snapToGrid w:val="0"/>
          <w:color w:val="auto"/>
          <w:sz w:val="24"/>
          <w:highlight w:val="none"/>
          <w:lang w:val="en-US" w:eastAsia="zh-CN"/>
        </w:rPr>
        <w:t>至少有1个已完工）</w:t>
      </w:r>
      <w:r>
        <w:rPr>
          <w:rFonts w:hint="eastAsia" w:ascii="宋体" w:hAnsi="宋体" w:eastAsia="宋体" w:cs="Times New Roman"/>
          <w:snapToGrid w:val="0"/>
          <w:color w:val="auto"/>
          <w:sz w:val="24"/>
          <w:highlight w:val="none"/>
        </w:rPr>
        <w:t>且单个合同金额不低于</w:t>
      </w:r>
      <w:r>
        <w:rPr>
          <w:rFonts w:hint="eastAsia" w:ascii="宋体" w:hAnsi="宋体" w:cs="Times New Roman"/>
          <w:snapToGrid w:val="0"/>
          <w:color w:val="auto"/>
          <w:sz w:val="24"/>
          <w:highlight w:val="none"/>
          <w:lang w:val="en-US" w:eastAsia="zh-CN"/>
        </w:rPr>
        <w:t>2</w:t>
      </w:r>
      <w:r>
        <w:rPr>
          <w:rFonts w:hint="eastAsia" w:ascii="宋体" w:hAnsi="宋体" w:eastAsia="宋体" w:cs="Times New Roman"/>
          <w:snapToGrid w:val="0"/>
          <w:color w:val="auto"/>
          <w:sz w:val="24"/>
          <w:highlight w:val="none"/>
          <w:lang w:val="en-US" w:eastAsia="zh-CN"/>
        </w:rPr>
        <w:t>000</w:t>
      </w:r>
      <w:r>
        <w:rPr>
          <w:rFonts w:hint="eastAsia" w:ascii="宋体" w:hAnsi="宋体" w:eastAsia="宋体" w:cs="Times New Roman"/>
          <w:snapToGrid w:val="0"/>
          <w:color w:val="auto"/>
          <w:sz w:val="24"/>
          <w:highlight w:val="none"/>
        </w:rPr>
        <w:t>万元的</w:t>
      </w:r>
      <w:r>
        <w:rPr>
          <w:rFonts w:hint="eastAsia" w:ascii="宋体" w:hAnsi="宋体" w:eastAsia="宋体" w:cs="Times New Roman"/>
          <w:snapToGrid w:val="0"/>
          <w:color w:val="auto"/>
          <w:sz w:val="24"/>
          <w:highlight w:val="none"/>
          <w:lang w:val="en-US" w:eastAsia="zh-CN"/>
        </w:rPr>
        <w:t>建筑</w:t>
      </w:r>
      <w:r>
        <w:rPr>
          <w:rFonts w:hint="eastAsia" w:ascii="宋体" w:hAnsi="宋体" w:eastAsia="宋体" w:cs="Times New Roman"/>
          <w:snapToGrid w:val="0"/>
          <w:color w:val="auto"/>
          <w:sz w:val="24"/>
          <w:highlight w:val="none"/>
        </w:rPr>
        <w:t>项目业绩</w:t>
      </w:r>
      <w:r>
        <w:rPr>
          <w:rFonts w:hint="eastAsia" w:ascii="宋体" w:hAnsi="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lang w:eastAsia="zh-CN"/>
        </w:rPr>
        <w:t>提供业绩项目中标通知书、合同书（施工范围、金额、时间可见）、竣工验收证明</w:t>
      </w:r>
      <w:r>
        <w:rPr>
          <w:rFonts w:hint="eastAsia" w:ascii="宋体" w:hAnsi="宋体" w:eastAsia="宋体" w:cs="Times New Roman"/>
          <w:snapToGrid w:val="0"/>
          <w:color w:val="auto"/>
          <w:sz w:val="24"/>
          <w:highlight w:val="none"/>
        </w:rPr>
        <w:t>（</w:t>
      </w:r>
      <w:r>
        <w:rPr>
          <w:rFonts w:hint="eastAsia" w:ascii="宋体" w:hAnsi="宋体" w:cs="Times New Roman"/>
          <w:snapToGrid w:val="0"/>
          <w:color w:val="auto"/>
          <w:sz w:val="24"/>
          <w:highlight w:val="none"/>
          <w:lang w:val="en-US" w:eastAsia="zh-CN"/>
        </w:rPr>
        <w:t>已完工</w:t>
      </w:r>
      <w:r>
        <w:rPr>
          <w:rFonts w:hint="eastAsia" w:ascii="宋体" w:hAnsi="宋体" w:eastAsia="宋体" w:cs="Times New Roman"/>
          <w:snapToGrid w:val="0"/>
          <w:color w:val="auto"/>
          <w:sz w:val="24"/>
          <w:highlight w:val="none"/>
        </w:rPr>
        <w:t>业绩认定时间以竣工验收证明材料上的竣工时间为准）</w:t>
      </w:r>
      <w:r>
        <w:rPr>
          <w:rFonts w:hint="eastAsia" w:ascii="宋体" w:hAnsi="宋体" w:eastAsia="宋体" w:cs="Times New Roman"/>
          <w:snapToGrid w:val="0"/>
          <w:color w:val="auto"/>
          <w:sz w:val="24"/>
          <w:highlight w:val="none"/>
          <w:lang w:eastAsia="zh-CN"/>
        </w:rPr>
        <w:t>、发票复印件；</w:t>
      </w:r>
      <w:r>
        <w:rPr>
          <w:rFonts w:hint="eastAsia" w:ascii="宋体" w:hAnsi="宋体" w:eastAsia="宋体" w:cs="Times New Roman"/>
          <w:snapToGrid w:val="0"/>
          <w:color w:val="auto"/>
          <w:sz w:val="24"/>
          <w:highlight w:val="none"/>
        </w:rPr>
        <w:t>同时须提供该业绩在“全国建筑市场监管公共服务平台-建设项目”中工程基本信息或招投标信息或合同登记信息或施工许可或竣工验收等五个界面中一个或多个截图（截图需清晰显示完整的网站名称、查询网址、工程名称、中标单位名称、项目经理名称、中标金额或合同金额主要信息）。</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3.6</w:t>
      </w:r>
      <w:r>
        <w:rPr>
          <w:rFonts w:hint="eastAsia" w:ascii="宋体" w:hAnsi="宋体" w:eastAsia="宋体" w:cs="Times New Roman"/>
          <w:snapToGrid w:val="0"/>
          <w:color w:val="auto"/>
          <w:sz w:val="24"/>
          <w:highlight w:val="none"/>
        </w:rPr>
        <w:t>财务状况要求：近三年财务状况良好，</w:t>
      </w:r>
      <w:r>
        <w:rPr>
          <w:rFonts w:hint="eastAsia" w:ascii="宋体" w:hAnsi="宋体" w:eastAsia="宋体" w:cs="Times New Roman"/>
          <w:snapToGrid w:val="0"/>
          <w:color w:val="auto"/>
          <w:sz w:val="24"/>
          <w:highlight w:val="none"/>
          <w:lang w:val="en-US" w:eastAsia="zh-CN"/>
        </w:rPr>
        <w:t>平均</w:t>
      </w:r>
      <w:r>
        <w:rPr>
          <w:rFonts w:hint="eastAsia" w:ascii="宋体" w:hAnsi="宋体" w:eastAsia="宋体" w:cs="Times New Roman"/>
          <w:snapToGrid w:val="0"/>
          <w:color w:val="auto"/>
          <w:sz w:val="24"/>
          <w:highlight w:val="none"/>
        </w:rPr>
        <w:t>无亏损。【提供</w:t>
      </w:r>
      <w:r>
        <w:rPr>
          <w:rFonts w:hint="eastAsia" w:ascii="宋体" w:hAnsi="宋体" w:cs="Times New Roman"/>
          <w:snapToGrid w:val="0"/>
          <w:color w:val="auto"/>
          <w:sz w:val="24"/>
          <w:highlight w:val="none"/>
          <w:lang w:val="en-US" w:eastAsia="zh-CN"/>
        </w:rPr>
        <w:t>近3</w:t>
      </w:r>
      <w:r>
        <w:rPr>
          <w:rFonts w:hint="eastAsia" w:ascii="宋体" w:hAnsi="宋体" w:eastAsia="宋体" w:cs="Times New Roman"/>
          <w:snapToGrid w:val="0"/>
          <w:color w:val="auto"/>
          <w:sz w:val="24"/>
          <w:highlight w:val="none"/>
        </w:rPr>
        <w:t>年的财务报表（资产负债表、现金流量表、利润表）及第三方会计师事务所年度审计报告】。</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w:t>
      </w:r>
      <w:r>
        <w:rPr>
          <w:rFonts w:hint="eastAsia" w:ascii="宋体" w:hAnsi="宋体" w:eastAsia="宋体" w:cs="Times New Roman"/>
          <w:snapToGrid w:val="0"/>
          <w:color w:val="auto"/>
          <w:sz w:val="24"/>
          <w:highlight w:val="none"/>
          <w:lang w:val="en-US" w:eastAsia="zh-CN"/>
        </w:rPr>
        <w:t>7</w:t>
      </w:r>
      <w:r>
        <w:rPr>
          <w:rFonts w:hint="eastAsia" w:ascii="宋体" w:hAnsi="宋体" w:eastAsia="宋体" w:cs="Times New Roman"/>
          <w:snapToGrid w:val="0"/>
          <w:color w:val="auto"/>
          <w:sz w:val="24"/>
          <w:highlight w:val="none"/>
        </w:rPr>
        <w:t xml:space="preserve"> 本次招标不接受联合体投标。</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3.</w:t>
      </w:r>
      <w:r>
        <w:rPr>
          <w:rFonts w:hint="eastAsia" w:ascii="宋体" w:hAnsi="宋体" w:eastAsia="宋体" w:cs="Times New Roman"/>
          <w:snapToGrid w:val="0"/>
          <w:color w:val="auto"/>
          <w:sz w:val="24"/>
          <w:highlight w:val="none"/>
          <w:lang w:val="en-US" w:eastAsia="zh-CN"/>
        </w:rPr>
        <w:t>8</w:t>
      </w:r>
      <w:r>
        <w:rPr>
          <w:rFonts w:hint="eastAsia" w:ascii="宋体" w:hAnsi="宋体" w:eastAsia="宋体" w:cs="Times New Roman"/>
          <w:snapToGrid w:val="0"/>
          <w:color w:val="auto"/>
          <w:sz w:val="24"/>
          <w:highlight w:val="none"/>
        </w:rPr>
        <w:t xml:space="preserve"> 本次招标资格审查方式为资格</w:t>
      </w:r>
      <w:r>
        <w:rPr>
          <w:rFonts w:hint="eastAsia" w:ascii="宋体" w:hAnsi="宋体" w:eastAsia="宋体" w:cs="Times New Roman"/>
          <w:snapToGrid w:val="0"/>
          <w:color w:val="auto"/>
          <w:sz w:val="24"/>
          <w:highlight w:val="none"/>
          <w:lang w:val="en-US" w:eastAsia="zh-CN"/>
        </w:rPr>
        <w:t>预</w:t>
      </w:r>
      <w:r>
        <w:rPr>
          <w:rFonts w:hint="eastAsia" w:ascii="宋体" w:hAnsi="宋体" w:eastAsia="宋体" w:cs="Times New Roman"/>
          <w:snapToGrid w:val="0"/>
          <w:color w:val="auto"/>
          <w:sz w:val="24"/>
          <w:highlight w:val="none"/>
        </w:rPr>
        <w:t>审。</w:t>
      </w:r>
    </w:p>
    <w:p>
      <w:pPr>
        <w:spacing w:line="460" w:lineRule="exact"/>
        <w:ind w:right="6" w:firstLine="480" w:firstLineChars="200"/>
        <w:jc w:val="left"/>
        <w:rPr>
          <w:rFonts w:hint="eastAsia" w:ascii="Times New Roman" w:hAnsi="Times New Roman"/>
          <w:caps w:val="0"/>
          <w:sz w:val="24"/>
        </w:rPr>
      </w:pPr>
      <w:r>
        <w:rPr>
          <w:rFonts w:hint="eastAsia" w:ascii="宋体" w:hAnsi="宋体" w:eastAsia="宋体" w:cs="Times New Roman"/>
          <w:snapToGrid w:val="0"/>
          <w:color w:val="auto"/>
          <w:sz w:val="24"/>
          <w:highlight w:val="none"/>
          <w:lang w:val="en-US" w:eastAsia="zh-CN"/>
        </w:rPr>
        <w:t>3</w:t>
      </w:r>
      <w:r>
        <w:rPr>
          <w:rFonts w:hint="eastAsia" w:ascii="宋体" w:hAnsi="宋体" w:eastAsia="宋体" w:cs="Times New Roman"/>
          <w:snapToGrid w:val="0"/>
          <w:color w:val="auto"/>
          <w:sz w:val="24"/>
          <w:highlight w:val="none"/>
        </w:rPr>
        <w:t>.</w:t>
      </w:r>
      <w:r>
        <w:rPr>
          <w:rFonts w:hint="eastAsia" w:ascii="宋体" w:hAnsi="宋体" w:eastAsia="宋体" w:cs="Times New Roman"/>
          <w:snapToGrid w:val="0"/>
          <w:color w:val="auto"/>
          <w:sz w:val="24"/>
          <w:highlight w:val="none"/>
          <w:lang w:val="en-US" w:eastAsia="zh-CN"/>
        </w:rPr>
        <w:t>9</w:t>
      </w:r>
      <w:r>
        <w:rPr>
          <w:rFonts w:hint="eastAsia" w:ascii="宋体" w:hAnsi="宋体" w:eastAsia="宋体" w:cs="Times New Roman"/>
          <w:snapToGrid w:val="0"/>
          <w:color w:val="auto"/>
          <w:sz w:val="24"/>
          <w:highlight w:val="none"/>
        </w:rPr>
        <w:t>投标人须符合《资格预审必要合格条件标准》（见附件一）。</w:t>
      </w:r>
    </w:p>
    <w:p>
      <w:pPr>
        <w:pStyle w:val="12"/>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4</w:t>
      </w:r>
      <w:r>
        <w:rPr>
          <w:rFonts w:hint="eastAsia" w:ascii="Times New Roman" w:hAnsi="Times New Roman"/>
          <w:b/>
          <w:bCs/>
          <w:caps w:val="0"/>
          <w:sz w:val="24"/>
        </w:rPr>
        <w:t>.确定潜在投标人的方法</w:t>
      </w:r>
    </w:p>
    <w:p>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本项目资格预审采用合格制。投标人递交的资格预审文件</w:t>
      </w:r>
      <w:r>
        <w:rPr>
          <w:rFonts w:hint="eastAsia" w:ascii="宋体" w:hAnsi="宋体" w:cs="Times New Roman"/>
          <w:snapToGrid w:val="0"/>
          <w:color w:val="auto"/>
          <w:sz w:val="24"/>
          <w:highlight w:val="none"/>
          <w:lang w:val="en-US" w:eastAsia="zh-CN"/>
        </w:rPr>
        <w:t>（包括必要时的约谈或考察）经审查均合格的</w:t>
      </w:r>
      <w:r>
        <w:rPr>
          <w:rFonts w:hint="eastAsia" w:ascii="宋体" w:hAnsi="宋体" w:eastAsia="宋体" w:cs="Times New Roman"/>
          <w:snapToGrid w:val="0"/>
          <w:color w:val="auto"/>
          <w:sz w:val="24"/>
          <w:highlight w:val="none"/>
          <w:lang w:val="en-US" w:eastAsia="zh-CN"/>
        </w:rPr>
        <w:t>，入围正式投标。</w:t>
      </w:r>
    </w:p>
    <w:p>
      <w:pPr>
        <w:pStyle w:val="12"/>
        <w:spacing w:line="460" w:lineRule="exact"/>
        <w:rPr>
          <w:rFonts w:hint="eastAsia" w:ascii="Times New Roman" w:hAnsi="Times New Roman"/>
          <w:b/>
          <w:bCs/>
          <w:caps w:val="0"/>
          <w:sz w:val="24"/>
        </w:rPr>
      </w:pPr>
      <w:r>
        <w:rPr>
          <w:rFonts w:hint="eastAsia" w:ascii="Times New Roman" w:hAnsi="Times New Roman"/>
          <w:b/>
          <w:bCs/>
          <w:caps w:val="0"/>
          <w:sz w:val="24"/>
          <w:lang w:val="en-US" w:eastAsia="zh-CN"/>
        </w:rPr>
        <w:t>5</w:t>
      </w:r>
      <w:r>
        <w:rPr>
          <w:rFonts w:hint="eastAsia" w:ascii="Times New Roman" w:hAnsi="Times New Roman"/>
          <w:b/>
          <w:bCs/>
          <w:caps w:val="0"/>
          <w:sz w:val="24"/>
        </w:rPr>
        <w:t>.资格预审文件的递交</w:t>
      </w:r>
    </w:p>
    <w:p>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5.1有意向且符合上述条件的投标人，请</w:t>
      </w:r>
      <w:r>
        <w:rPr>
          <w:rFonts w:hint="eastAsia" w:ascii="宋体" w:hAnsi="宋体" w:cs="Times New Roman"/>
          <w:snapToGrid w:val="0"/>
          <w:color w:val="auto"/>
          <w:sz w:val="24"/>
          <w:highlight w:val="none"/>
          <w:lang w:val="en-US" w:eastAsia="zh-CN"/>
        </w:rPr>
        <w:t>于2024年5月9</w:t>
      </w:r>
      <w:bookmarkStart w:id="5" w:name="_GoBack"/>
      <w:bookmarkEnd w:id="5"/>
      <w:r>
        <w:rPr>
          <w:rFonts w:hint="eastAsia" w:ascii="宋体" w:hAnsi="宋体" w:cs="Times New Roman"/>
          <w:snapToGrid w:val="0"/>
          <w:color w:val="auto"/>
          <w:sz w:val="24"/>
          <w:highlight w:val="none"/>
          <w:lang w:val="en-US" w:eastAsia="zh-CN"/>
        </w:rPr>
        <w:t>日9：00前，</w:t>
      </w:r>
      <w:r>
        <w:rPr>
          <w:rFonts w:hint="eastAsia" w:ascii="宋体" w:hAnsi="宋体" w:eastAsia="宋体" w:cs="Times New Roman"/>
          <w:snapToGrid w:val="0"/>
          <w:color w:val="auto"/>
          <w:sz w:val="24"/>
          <w:highlight w:val="none"/>
          <w:lang w:val="en-US" w:eastAsia="zh-CN"/>
        </w:rPr>
        <w:t>登陆舍得酒业招采数字化平台</w:t>
      </w:r>
      <w:r>
        <w:rPr>
          <w:rFonts w:hint="default"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网址：</w:t>
      </w:r>
      <w:r>
        <w:rPr>
          <w:rFonts w:hint="default" w:ascii="宋体" w:hAnsi="宋体" w:eastAsia="宋体" w:cs="Times New Roman"/>
          <w:snapToGrid w:val="0"/>
          <w:color w:val="auto"/>
          <w:sz w:val="24"/>
          <w:highlight w:val="none"/>
          <w:lang w:val="en-US" w:eastAsia="zh-CN"/>
        </w:rPr>
        <w:t>https://ssrm.shede.com.cn</w:t>
      </w:r>
      <w:r>
        <w:rPr>
          <w:rFonts w:hint="eastAsia" w:ascii="宋体" w:hAnsi="宋体" w:eastAsia="宋体" w:cs="Times New Roman"/>
          <w:snapToGrid w:val="0"/>
          <w:color w:val="auto"/>
          <w:sz w:val="24"/>
          <w:highlight w:val="none"/>
          <w:lang w:val="en-US" w:eastAsia="zh-CN"/>
        </w:rPr>
        <w:t>），点击页面顶部“一链网”参与项目报名</w:t>
      </w:r>
      <w:r>
        <w:rPr>
          <w:rFonts w:hint="default" w:ascii="宋体" w:hAnsi="宋体" w:eastAsia="宋体" w:cs="Times New Roman"/>
          <w:snapToGrid w:val="0"/>
          <w:color w:val="auto"/>
          <w:sz w:val="24"/>
          <w:highlight w:val="none"/>
          <w:lang w:val="en-US" w:eastAsia="zh-CN"/>
        </w:rPr>
        <w:t>, </w:t>
      </w:r>
      <w:r>
        <w:rPr>
          <w:rFonts w:hint="eastAsia" w:ascii="宋体" w:hAnsi="宋体" w:eastAsia="宋体" w:cs="Times New Roman"/>
          <w:snapToGrid w:val="0"/>
          <w:color w:val="auto"/>
          <w:sz w:val="24"/>
          <w:highlight w:val="none"/>
          <w:lang w:val="en-US" w:eastAsia="zh-CN"/>
        </w:rPr>
        <w:t>并按照“附件二投标预审资料提交模板”的要求提供资格预审盖章扫描文件及可编辑</w:t>
      </w:r>
      <w:r>
        <w:rPr>
          <w:rFonts w:hint="default" w:ascii="宋体" w:hAnsi="宋体" w:eastAsia="宋体" w:cs="Times New Roman"/>
          <w:snapToGrid w:val="0"/>
          <w:color w:val="auto"/>
          <w:sz w:val="24"/>
          <w:highlight w:val="none"/>
          <w:lang w:val="en-US" w:eastAsia="zh-CN"/>
        </w:rPr>
        <w:t>word</w:t>
      </w:r>
      <w:r>
        <w:rPr>
          <w:rFonts w:hint="eastAsia" w:ascii="宋体" w:hAnsi="宋体" w:eastAsia="宋体" w:cs="Times New Roman"/>
          <w:snapToGrid w:val="0"/>
          <w:color w:val="auto"/>
          <w:sz w:val="24"/>
          <w:highlight w:val="none"/>
          <w:lang w:val="en-US" w:eastAsia="zh-CN"/>
        </w:rPr>
        <w:t>版本。</w:t>
      </w:r>
    </w:p>
    <w:p>
      <w:pPr>
        <w:spacing w:line="460" w:lineRule="exact"/>
        <w:ind w:right="6" w:firstLine="480" w:firstLineChars="200"/>
        <w:jc w:val="left"/>
        <w:rPr>
          <w:rFonts w:hint="eastAsia" w:ascii="宋体" w:hAnsi="宋体" w:eastAsia="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5.2未按照上述要求进行报名的均视为报名无效。通过资格预审并接受邀请的投标人方可参加投标。</w:t>
      </w:r>
    </w:p>
    <w:p>
      <w:pPr>
        <w:pStyle w:val="12"/>
        <w:spacing w:line="460" w:lineRule="exact"/>
        <w:rPr>
          <w:rFonts w:ascii="Times New Roman" w:hAnsi="Times New Roman"/>
          <w:b/>
          <w:bCs/>
          <w:caps w:val="0"/>
          <w:sz w:val="24"/>
        </w:rPr>
      </w:pPr>
      <w:r>
        <w:rPr>
          <w:rFonts w:hint="eastAsia" w:ascii="Times New Roman" w:hAnsi="Times New Roman"/>
          <w:b/>
          <w:bCs/>
          <w:caps w:val="0"/>
          <w:sz w:val="24"/>
          <w:lang w:val="en-US" w:eastAsia="zh-CN"/>
        </w:rPr>
        <w:t>6</w:t>
      </w:r>
      <w:r>
        <w:rPr>
          <w:rFonts w:hint="eastAsia" w:ascii="Times New Roman" w:hAnsi="Times New Roman"/>
          <w:b/>
          <w:bCs/>
          <w:caps w:val="0"/>
          <w:sz w:val="24"/>
        </w:rPr>
        <w:t>.投标保证金</w:t>
      </w:r>
    </w:p>
    <w:p>
      <w:pPr>
        <w:spacing w:line="460" w:lineRule="exact"/>
        <w:ind w:right="6" w:firstLine="480" w:firstLineChars="200"/>
        <w:jc w:val="left"/>
        <w:rPr>
          <w:rFonts w:hint="eastAsia" w:ascii="宋体" w:hAnsi="宋体" w:cs="Times New Roman"/>
          <w:snapToGrid w:val="0"/>
          <w:color w:val="auto"/>
          <w:sz w:val="24"/>
          <w:highlight w:val="none"/>
          <w:lang w:val="en-US" w:eastAsia="zh-CN"/>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.1 投标保证金的金额：</w:t>
      </w:r>
      <w:r>
        <w:rPr>
          <w:rFonts w:hint="eastAsia" w:ascii="宋体" w:hAnsi="宋体" w:eastAsia="宋体" w:cs="Times New Roman"/>
          <w:snapToGrid w:val="0"/>
          <w:color w:val="auto"/>
          <w:sz w:val="24"/>
          <w:highlight w:val="none"/>
          <w:u w:val="single"/>
        </w:rPr>
        <w:t>¥</w:t>
      </w:r>
      <w:r>
        <w:rPr>
          <w:rFonts w:hint="eastAsia" w:ascii="宋体" w:hAnsi="宋体" w:cs="Times New Roman"/>
          <w:snapToGrid w:val="0"/>
          <w:color w:val="auto"/>
          <w:sz w:val="24"/>
          <w:highlight w:val="none"/>
          <w:u w:val="single"/>
          <w:lang w:val="en-US" w:eastAsia="zh-CN"/>
        </w:rPr>
        <w:t>5</w:t>
      </w:r>
      <w:r>
        <w:rPr>
          <w:rFonts w:hint="eastAsia" w:ascii="宋体" w:hAnsi="宋体" w:eastAsia="宋体" w:cs="Times New Roman"/>
          <w:snapToGrid w:val="0"/>
          <w:color w:val="auto"/>
          <w:sz w:val="24"/>
          <w:highlight w:val="none"/>
          <w:u w:val="single"/>
          <w:lang w:val="en-US" w:eastAsia="zh-CN"/>
        </w:rPr>
        <w:t>0</w:t>
      </w:r>
      <w:r>
        <w:rPr>
          <w:rFonts w:hint="eastAsia" w:ascii="宋体" w:hAnsi="宋体" w:eastAsia="宋体" w:cs="Times New Roman"/>
          <w:snapToGrid w:val="0"/>
          <w:color w:val="auto"/>
          <w:sz w:val="24"/>
          <w:highlight w:val="none"/>
          <w:u w:val="single"/>
        </w:rPr>
        <w:t>万元</w:t>
      </w:r>
      <w:r>
        <w:rPr>
          <w:rFonts w:hint="eastAsia" w:ascii="宋体" w:hAnsi="宋体" w:eastAsia="宋体" w:cs="Times New Roman"/>
          <w:snapToGrid w:val="0"/>
          <w:color w:val="auto"/>
          <w:sz w:val="24"/>
          <w:highlight w:val="none"/>
        </w:rPr>
        <w:t>（人民币大写：</w:t>
      </w:r>
      <w:r>
        <w:rPr>
          <w:rFonts w:hint="eastAsia" w:ascii="宋体" w:hAnsi="宋体" w:cs="Times New Roman"/>
          <w:snapToGrid w:val="0"/>
          <w:color w:val="auto"/>
          <w:sz w:val="24"/>
          <w:highlight w:val="none"/>
          <w:lang w:val="en-US" w:eastAsia="zh-CN"/>
        </w:rPr>
        <w:t>伍</w:t>
      </w:r>
      <w:r>
        <w:rPr>
          <w:rFonts w:hint="eastAsia" w:ascii="宋体" w:hAnsi="宋体" w:eastAsia="宋体" w:cs="Times New Roman"/>
          <w:snapToGrid w:val="0"/>
          <w:color w:val="auto"/>
          <w:sz w:val="24"/>
          <w:highlight w:val="none"/>
          <w:lang w:val="en-US" w:eastAsia="zh-CN"/>
        </w:rPr>
        <w:t>拾万</w:t>
      </w:r>
      <w:r>
        <w:rPr>
          <w:rFonts w:hint="eastAsia" w:ascii="宋体" w:hAnsi="宋体" w:eastAsia="宋体" w:cs="Times New Roman"/>
          <w:snapToGrid w:val="0"/>
          <w:color w:val="auto"/>
          <w:sz w:val="24"/>
          <w:highlight w:val="none"/>
        </w:rPr>
        <w:t>元</w:t>
      </w:r>
      <w:r>
        <w:rPr>
          <w:rFonts w:hint="eastAsia" w:ascii="宋体" w:hAnsi="宋体" w:eastAsia="宋体" w:cs="Times New Roman"/>
          <w:snapToGrid w:val="0"/>
          <w:color w:val="auto"/>
          <w:sz w:val="24"/>
          <w:highlight w:val="none"/>
          <w:lang w:val="en-US" w:eastAsia="zh-CN"/>
        </w:rPr>
        <w:t>整</w:t>
      </w:r>
      <w:r>
        <w:rPr>
          <w:rFonts w:hint="eastAsia" w:ascii="宋体" w:hAnsi="宋体" w:eastAsia="宋体" w:cs="Times New Roman"/>
          <w:snapToGrid w:val="0"/>
          <w:color w:val="auto"/>
          <w:sz w:val="24"/>
          <w:highlight w:val="none"/>
        </w:rPr>
        <w:t>）。投标人在收到招标文件且确认参标后，在规定时间内缴纳投标保证金。投标保证金缴纳截止时间以招标文件为准，以转账方式缴纳投标保证金，投标人转账时请在转账凭证用途栏上注明</w:t>
      </w:r>
      <w:r>
        <w:rPr>
          <w:rFonts w:hint="eastAsia" w:ascii="宋体" w:hAnsi="宋体" w:cs="Times New Roman"/>
          <w:snapToGrid w:val="0"/>
          <w:color w:val="auto"/>
          <w:sz w:val="24"/>
          <w:highlight w:val="none"/>
          <w:lang w:val="en-US" w:eastAsia="zh-CN"/>
        </w:rPr>
        <w:t>ZC2-013</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.2 投标保证金交纳账户信息如下：</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开户单位：舍得酒业股份有限公司</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 xml:space="preserve">开户银行：中国工商银行射洪支行 </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rPr>
        <w:t>银行帐号：2310 4641 0902 2509 624。</w:t>
      </w:r>
    </w:p>
    <w:p>
      <w:pPr>
        <w:spacing w:line="460" w:lineRule="exact"/>
        <w:ind w:right="6" w:firstLine="480" w:firstLineChars="200"/>
        <w:jc w:val="left"/>
        <w:rPr>
          <w:rFonts w:hint="eastAsia" w:ascii="宋体" w:hAnsi="宋体" w:eastAsia="宋体" w:cs="Times New Roman"/>
          <w:snapToGrid w:val="0"/>
          <w:color w:val="auto"/>
          <w:sz w:val="24"/>
          <w:highlight w:val="none"/>
        </w:rPr>
      </w:pPr>
      <w:r>
        <w:rPr>
          <w:rFonts w:hint="eastAsia" w:ascii="宋体" w:hAnsi="宋体" w:eastAsia="宋体" w:cs="Times New Roman"/>
          <w:snapToGrid w:val="0"/>
          <w:color w:val="auto"/>
          <w:sz w:val="24"/>
          <w:highlight w:val="none"/>
          <w:lang w:val="en-US" w:eastAsia="zh-CN"/>
        </w:rPr>
        <w:t>6</w:t>
      </w:r>
      <w:r>
        <w:rPr>
          <w:rFonts w:hint="eastAsia" w:ascii="宋体" w:hAnsi="宋体" w:eastAsia="宋体" w:cs="Times New Roman"/>
          <w:snapToGrid w:val="0"/>
          <w:color w:val="auto"/>
          <w:sz w:val="24"/>
          <w:highlight w:val="none"/>
        </w:rPr>
        <w:t>.3 保证金退还：本项目履约保证金</w:t>
      </w:r>
      <w:r>
        <w:rPr>
          <w:rFonts w:hint="eastAsia" w:ascii="宋体" w:hAnsi="宋体" w:eastAsia="宋体" w:cs="Times New Roman"/>
          <w:snapToGrid w:val="0"/>
          <w:color w:val="auto"/>
          <w:sz w:val="24"/>
          <w:highlight w:val="none"/>
          <w:lang w:val="en-US" w:eastAsia="zh-CN"/>
        </w:rPr>
        <w:t>为合同金额的10%</w:t>
      </w:r>
      <w:r>
        <w:rPr>
          <w:rFonts w:hint="eastAsia" w:ascii="宋体" w:hAnsi="宋体" w:eastAsia="宋体" w:cs="Times New Roman"/>
          <w:snapToGrid w:val="0"/>
          <w:color w:val="auto"/>
          <w:sz w:val="24"/>
          <w:highlight w:val="none"/>
        </w:rPr>
        <w:t>：投标人若中标，投标保证金自动转为履约保证金；不足部分以银行履约保函形式补足</w:t>
      </w:r>
      <w:r>
        <w:rPr>
          <w:rFonts w:hint="eastAsia" w:ascii="宋体" w:hAnsi="宋体" w:cs="Times New Roman"/>
          <w:snapToGrid w:val="0"/>
          <w:color w:val="auto"/>
          <w:sz w:val="24"/>
          <w:highlight w:val="none"/>
          <w:lang w:eastAsia="zh-CN"/>
        </w:rPr>
        <w:t>。</w:t>
      </w:r>
      <w:r>
        <w:rPr>
          <w:rFonts w:hint="eastAsia" w:ascii="宋体" w:hAnsi="宋体" w:eastAsia="宋体" w:cs="Times New Roman"/>
          <w:snapToGrid w:val="0"/>
          <w:color w:val="auto"/>
          <w:sz w:val="24"/>
          <w:highlight w:val="none"/>
        </w:rPr>
        <w:t>工程按期完工并验收合格后，招标人30日内返还履约保证金（不计利息）。未中标的投标保证金在确定中标人单位后30日内返还（不计利息）。中标人拒绝签订合同的，招标人有权取消其中标资格，投标保证金不予退还，如因此给招标人造成损失的，还应赔偿招标人损失；中标人不按期开工，经招标人催告后仍不开工的，招标人有权单方解除与其签订的合同，履约保证金不予退还，如因此给招标人造成损失的，还应赔偿损失。</w:t>
      </w:r>
    </w:p>
    <w:p>
      <w:pPr>
        <w:adjustRightInd w:val="0"/>
        <w:snapToGrid w:val="0"/>
        <w:spacing w:line="360" w:lineRule="auto"/>
        <w:ind w:left="0" w:leftChars="0" w:firstLine="0" w:firstLineChars="0"/>
        <w:rPr>
          <w:rFonts w:ascii="宋体" w:hAnsi="宋体" w:cs="宋体"/>
          <w:sz w:val="24"/>
        </w:rPr>
      </w:pPr>
      <w:bookmarkStart w:id="4" w:name="_Toc26183"/>
      <w:r>
        <w:rPr>
          <w:rFonts w:hint="eastAsia" w:ascii="宋体" w:hAnsi="宋体" w:cs="宋体"/>
          <w:b/>
          <w:bCs/>
          <w:sz w:val="24"/>
          <w:lang w:val="en-US" w:eastAsia="zh-CN"/>
        </w:rPr>
        <w:t>7</w:t>
      </w:r>
      <w:r>
        <w:rPr>
          <w:rFonts w:hint="eastAsia" w:ascii="宋体" w:hAnsi="宋体" w:cs="宋体"/>
          <w:b/>
          <w:bCs/>
          <w:sz w:val="24"/>
        </w:rPr>
        <w:t>.投标报名联系人及时间安排：</w:t>
      </w:r>
      <w:r>
        <w:rPr>
          <w:rFonts w:hint="eastAsia" w:ascii="宋体" w:hAnsi="宋体" w:cs="宋体"/>
          <w:sz w:val="24"/>
        </w:rPr>
        <w:t xml:space="preserve"> </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7.1投标联系人：</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商务咨询：</w:t>
      </w:r>
      <w:r>
        <w:rPr>
          <w:rFonts w:hint="eastAsia" w:hAnsi="宋体" w:cs="Times New Roman"/>
          <w:snapToGrid w:val="0"/>
          <w:color w:val="auto"/>
          <w:kern w:val="2"/>
          <w:sz w:val="24"/>
          <w:szCs w:val="24"/>
          <w:highlight w:val="none"/>
          <w:lang w:val="en-US" w:eastAsia="zh-CN" w:bidi="ar-SA"/>
        </w:rPr>
        <w:t>李</w:t>
      </w:r>
      <w:r>
        <w:rPr>
          <w:rFonts w:hint="eastAsia" w:ascii="宋体" w:hAnsi="宋体" w:eastAsia="宋体" w:cs="Times New Roman"/>
          <w:snapToGrid w:val="0"/>
          <w:color w:val="auto"/>
          <w:kern w:val="2"/>
          <w:sz w:val="24"/>
          <w:szCs w:val="24"/>
          <w:highlight w:val="none"/>
          <w:lang w:val="en-US" w:eastAsia="zh-CN" w:bidi="ar-SA"/>
        </w:rPr>
        <w:t>女士 </w:t>
      </w:r>
      <w:r>
        <w:rPr>
          <w:rFonts w:hint="eastAsia" w:hAnsi="宋体" w:cs="Times New Roman"/>
          <w:snapToGrid w:val="0"/>
          <w:color w:val="auto"/>
          <w:kern w:val="2"/>
          <w:sz w:val="24"/>
          <w:szCs w:val="24"/>
          <w:highlight w:val="none"/>
          <w:lang w:val="en-US" w:eastAsia="zh-CN" w:bidi="ar-SA"/>
        </w:rPr>
        <w:t>15182580506</w:t>
      </w:r>
      <w:r>
        <w:rPr>
          <w:rFonts w:hint="eastAsia" w:ascii="宋体" w:hAnsi="宋体" w:eastAsia="宋体" w:cs="Times New Roman"/>
          <w:snapToGrid w:val="0"/>
          <w:color w:val="auto"/>
          <w:kern w:val="2"/>
          <w:sz w:val="24"/>
          <w:szCs w:val="24"/>
          <w:highlight w:val="none"/>
          <w:lang w:val="en-US" w:eastAsia="zh-CN" w:bidi="ar-SA"/>
        </w:rPr>
        <w:t xml:space="preserve">  邮箱</w:t>
      </w:r>
      <w:r>
        <w:rPr>
          <w:rFonts w:hint="default" w:ascii="宋体" w:hAnsi="宋体" w:eastAsia="宋体" w:cs="Times New Roman"/>
          <w:snapToGrid w:val="0"/>
          <w:color w:val="auto"/>
          <w:kern w:val="2"/>
          <w:sz w:val="24"/>
          <w:szCs w:val="24"/>
          <w:highlight w:val="none"/>
          <w:lang w:val="en-US" w:eastAsia="zh-CN" w:bidi="ar-SA"/>
        </w:rPr>
        <w:t>:  </w:t>
      </w:r>
      <w:r>
        <w:rPr>
          <w:rFonts w:hint="eastAsia" w:hAnsi="宋体" w:cs="Times New Roman"/>
          <w:snapToGrid w:val="0"/>
          <w:color w:val="auto"/>
          <w:kern w:val="2"/>
          <w:sz w:val="24"/>
          <w:szCs w:val="24"/>
          <w:highlight w:val="none"/>
          <w:lang w:val="en-US" w:eastAsia="zh-CN" w:bidi="ar-SA"/>
        </w:rPr>
        <w:t>limin3</w:t>
      </w:r>
      <w:r>
        <w:rPr>
          <w:rFonts w:hint="default" w:ascii="宋体" w:hAnsi="宋体" w:eastAsia="宋体" w:cs="Times New Roman"/>
          <w:snapToGrid w:val="0"/>
          <w:color w:val="auto"/>
          <w:kern w:val="2"/>
          <w:sz w:val="24"/>
          <w:szCs w:val="24"/>
          <w:highlight w:val="none"/>
          <w:lang w:val="en-US" w:eastAsia="zh-CN" w:bidi="ar-SA"/>
        </w:rPr>
        <w:t>@tuopai.biz</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凡涉及商务、技术咨询的，请投标人以邮件方式书面提出，招标联系人在2个日历天内以邮件方式回复。  </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地址：四川省射洪市沱牌镇沱牌大道999号  </w:t>
      </w:r>
      <w:r>
        <w:rPr>
          <w:rFonts w:hint="eastAsia" w:hAnsi="宋体" w:cs="Times New Roman"/>
          <w:snapToGrid w:val="0"/>
          <w:color w:val="auto"/>
          <w:kern w:val="2"/>
          <w:sz w:val="24"/>
          <w:szCs w:val="24"/>
          <w:highlight w:val="none"/>
          <w:lang w:val="en-US" w:eastAsia="zh-CN" w:bidi="ar-SA"/>
        </w:rPr>
        <w:t xml:space="preserve">   </w:t>
      </w:r>
      <w:r>
        <w:rPr>
          <w:rFonts w:hint="eastAsia" w:ascii="宋体" w:hAnsi="宋体" w:eastAsia="宋体" w:cs="Times New Roman"/>
          <w:snapToGrid w:val="0"/>
          <w:color w:val="auto"/>
          <w:kern w:val="2"/>
          <w:sz w:val="24"/>
          <w:szCs w:val="24"/>
          <w:highlight w:val="none"/>
          <w:lang w:val="en-US" w:eastAsia="zh-CN" w:bidi="ar-SA"/>
        </w:rPr>
        <w:t> 邮编：</w:t>
      </w:r>
      <w:r>
        <w:rPr>
          <w:rFonts w:hint="default" w:ascii="宋体" w:hAnsi="宋体" w:eastAsia="宋体" w:cs="Times New Roman"/>
          <w:snapToGrid w:val="0"/>
          <w:color w:val="auto"/>
          <w:kern w:val="2"/>
          <w:sz w:val="24"/>
          <w:szCs w:val="24"/>
          <w:highlight w:val="none"/>
          <w:lang w:val="en-US" w:eastAsia="zh-CN" w:bidi="ar-SA"/>
        </w:rPr>
        <w:t>629209</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7.2招标文件的获取方式</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hAnsi="宋体" w:cs="Times New Roman"/>
          <w:snapToGrid w:val="0"/>
          <w:color w:val="auto"/>
          <w:kern w:val="2"/>
          <w:sz w:val="24"/>
          <w:szCs w:val="24"/>
          <w:highlight w:val="none"/>
          <w:lang w:val="en-US" w:eastAsia="zh-CN" w:bidi="ar-SA"/>
        </w:rPr>
        <w:t>资格预审合格后，登录舍得酒业招采数字化平台</w:t>
      </w:r>
      <w:r>
        <w:rPr>
          <w:rFonts w:hint="default"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sz w:val="24"/>
          <w:highlight w:val="none"/>
          <w:lang w:val="en-US" w:eastAsia="zh-CN"/>
        </w:rPr>
        <w:t>网址：</w:t>
      </w:r>
      <w:r>
        <w:rPr>
          <w:rFonts w:hint="default" w:ascii="宋体" w:hAnsi="宋体" w:eastAsia="宋体" w:cs="Times New Roman"/>
          <w:snapToGrid w:val="0"/>
          <w:color w:val="auto"/>
          <w:sz w:val="24"/>
          <w:highlight w:val="none"/>
          <w:lang w:val="en-US" w:eastAsia="zh-CN"/>
        </w:rPr>
        <w:t>https://ssrm.shede.com.cn</w:t>
      </w:r>
      <w:r>
        <w:rPr>
          <w:rFonts w:hint="eastAsia" w:ascii="宋体" w:hAnsi="宋体" w:eastAsia="宋体" w:cs="Times New Roman"/>
          <w:snapToGrid w:val="0"/>
          <w:color w:val="auto"/>
          <w:sz w:val="24"/>
          <w:highlight w:val="none"/>
          <w:lang w:val="en-US" w:eastAsia="zh-CN"/>
        </w:rPr>
        <w:t>）</w:t>
      </w:r>
      <w:r>
        <w:rPr>
          <w:rFonts w:hint="eastAsia" w:ascii="宋体" w:hAnsi="宋体" w:eastAsia="宋体" w:cs="Times New Roman"/>
          <w:snapToGrid w:val="0"/>
          <w:color w:val="auto"/>
          <w:kern w:val="2"/>
          <w:sz w:val="24"/>
          <w:szCs w:val="24"/>
          <w:highlight w:val="none"/>
          <w:lang w:val="en-US" w:eastAsia="zh-CN" w:bidi="ar-SA"/>
        </w:rPr>
        <w:t>，</w:t>
      </w:r>
      <w:r>
        <w:rPr>
          <w:rFonts w:hint="eastAsia" w:hAnsi="宋体" w:cs="Times New Roman"/>
          <w:snapToGrid w:val="0"/>
          <w:color w:val="auto"/>
          <w:kern w:val="2"/>
          <w:sz w:val="24"/>
          <w:szCs w:val="24"/>
          <w:highlight w:val="none"/>
          <w:lang w:val="en-US" w:eastAsia="zh-CN" w:bidi="ar-SA"/>
        </w:rPr>
        <w:t>点击页面顶部“一链网”获取招标文件，</w:t>
      </w:r>
      <w:r>
        <w:rPr>
          <w:rFonts w:hint="eastAsia" w:ascii="宋体" w:hAnsi="宋体" w:eastAsia="宋体" w:cs="Times New Roman"/>
          <w:snapToGrid w:val="0"/>
          <w:color w:val="auto"/>
          <w:kern w:val="2"/>
          <w:sz w:val="24"/>
          <w:szCs w:val="24"/>
          <w:highlight w:val="none"/>
          <w:lang w:val="en-US" w:eastAsia="zh-CN" w:bidi="ar-SA"/>
        </w:rPr>
        <w:t>招标文件不收取费用。</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384"/>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7.3时间安排：</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投标预审资料递交截止时间：2024年</w:t>
      </w:r>
      <w:r>
        <w:rPr>
          <w:rFonts w:hint="eastAsia" w:hAnsi="宋体" w:cs="Times New Roman"/>
          <w:snapToGrid w:val="0"/>
          <w:color w:val="auto"/>
          <w:kern w:val="2"/>
          <w:sz w:val="24"/>
          <w:szCs w:val="24"/>
          <w:highlight w:val="none"/>
          <w:lang w:val="en-US" w:eastAsia="zh-CN" w:bidi="ar-SA"/>
        </w:rPr>
        <w:t>5</w:t>
      </w:r>
      <w:r>
        <w:rPr>
          <w:rFonts w:hint="eastAsia" w:ascii="宋体" w:hAnsi="宋体" w:eastAsia="宋体" w:cs="Times New Roman"/>
          <w:snapToGrid w:val="0"/>
          <w:color w:val="auto"/>
          <w:kern w:val="2"/>
          <w:sz w:val="24"/>
          <w:szCs w:val="24"/>
          <w:highlight w:val="none"/>
          <w:lang w:val="en-US" w:eastAsia="zh-CN" w:bidi="ar-SA"/>
        </w:rPr>
        <w:t>月</w:t>
      </w:r>
      <w:r>
        <w:rPr>
          <w:rFonts w:hint="eastAsia" w:hAnsi="宋体" w:cs="Times New Roman"/>
          <w:snapToGrid w:val="0"/>
          <w:color w:val="auto"/>
          <w:kern w:val="2"/>
          <w:sz w:val="24"/>
          <w:szCs w:val="24"/>
          <w:highlight w:val="none"/>
          <w:lang w:val="en-US" w:eastAsia="zh-CN" w:bidi="ar-SA"/>
        </w:rPr>
        <w:t>9</w:t>
      </w:r>
      <w:r>
        <w:rPr>
          <w:rFonts w:hint="eastAsia" w:ascii="宋体" w:hAnsi="宋体" w:eastAsia="宋体" w:cs="Times New Roman"/>
          <w:snapToGrid w:val="0"/>
          <w:color w:val="auto"/>
          <w:kern w:val="2"/>
          <w:sz w:val="24"/>
          <w:szCs w:val="24"/>
          <w:highlight w:val="none"/>
          <w:lang w:val="en-US" w:eastAsia="zh-CN" w:bidi="ar-SA"/>
        </w:rPr>
        <w:t>日9：</w:t>
      </w:r>
      <w:r>
        <w:rPr>
          <w:rFonts w:hint="default" w:ascii="宋体" w:hAnsi="宋体" w:eastAsia="宋体" w:cs="Times New Roman"/>
          <w:snapToGrid w:val="0"/>
          <w:color w:val="auto"/>
          <w:kern w:val="2"/>
          <w:sz w:val="24"/>
          <w:szCs w:val="24"/>
          <w:highlight w:val="none"/>
          <w:lang w:val="en-US" w:eastAsia="zh-CN" w:bidi="ar-SA"/>
        </w:rPr>
        <w:t>00</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本项目预计发标时间：2024年</w:t>
      </w:r>
      <w:r>
        <w:rPr>
          <w:rFonts w:hint="eastAsia" w:hAnsi="宋体" w:cs="Times New Roman"/>
          <w:snapToGrid w:val="0"/>
          <w:color w:val="auto"/>
          <w:kern w:val="2"/>
          <w:sz w:val="24"/>
          <w:szCs w:val="24"/>
          <w:highlight w:val="none"/>
          <w:lang w:val="en-US" w:eastAsia="zh-CN" w:bidi="ar-SA"/>
        </w:rPr>
        <w:t>5</w:t>
      </w:r>
      <w:r>
        <w:rPr>
          <w:rFonts w:hint="eastAsia" w:ascii="宋体" w:hAnsi="宋体" w:eastAsia="宋体" w:cs="Times New Roman"/>
          <w:snapToGrid w:val="0"/>
          <w:color w:val="auto"/>
          <w:kern w:val="2"/>
          <w:sz w:val="24"/>
          <w:szCs w:val="24"/>
          <w:highlight w:val="none"/>
          <w:lang w:val="en-US" w:eastAsia="zh-CN" w:bidi="ar-SA"/>
        </w:rPr>
        <w:t>月</w:t>
      </w:r>
      <w:r>
        <w:rPr>
          <w:rFonts w:hint="eastAsia" w:hAnsi="宋体" w:cs="Times New Roman"/>
          <w:snapToGrid w:val="0"/>
          <w:color w:val="auto"/>
          <w:kern w:val="2"/>
          <w:sz w:val="24"/>
          <w:szCs w:val="24"/>
          <w:highlight w:val="none"/>
          <w:lang w:val="en-US" w:eastAsia="zh-CN" w:bidi="ar-SA"/>
        </w:rPr>
        <w:t>15</w:t>
      </w:r>
      <w:r>
        <w:rPr>
          <w:rFonts w:hint="eastAsia" w:ascii="宋体" w:hAnsi="宋体" w:eastAsia="宋体" w:cs="Times New Roman"/>
          <w:snapToGrid w:val="0"/>
          <w:color w:val="auto"/>
          <w:kern w:val="2"/>
          <w:sz w:val="24"/>
          <w:szCs w:val="24"/>
          <w:highlight w:val="none"/>
          <w:lang w:val="en-US" w:eastAsia="zh-CN" w:bidi="ar-SA"/>
        </w:rPr>
        <w:t>日（暂定）</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本项目预计回标时间：以招标文件为准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本项目预计开标时间：以招标文件为准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以上时间会根据项目的进度有所变动，以实际为准。</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right="0"/>
        <w:rPr>
          <w:rFonts w:hint="eastAsia" w:ascii="宋体" w:hAnsi="宋体" w:eastAsia="宋体" w:cs="Times New Roman"/>
          <w:b/>
          <w:bCs/>
          <w:snapToGrid w:val="0"/>
          <w:color w:val="auto"/>
          <w:kern w:val="2"/>
          <w:sz w:val="24"/>
          <w:szCs w:val="24"/>
          <w:highlight w:val="none"/>
          <w:lang w:val="en-US" w:eastAsia="zh-CN" w:bidi="ar-SA"/>
        </w:rPr>
      </w:pPr>
      <w:r>
        <w:rPr>
          <w:rFonts w:hint="eastAsia" w:ascii="宋体" w:hAnsi="宋体" w:eastAsia="宋体" w:cs="Times New Roman"/>
          <w:b/>
          <w:bCs/>
          <w:snapToGrid w:val="0"/>
          <w:color w:val="auto"/>
          <w:kern w:val="2"/>
          <w:sz w:val="24"/>
          <w:szCs w:val="24"/>
          <w:highlight w:val="none"/>
          <w:lang w:val="en-US" w:eastAsia="zh-CN" w:bidi="ar-SA"/>
        </w:rPr>
        <w:t>8.发布公告的媒介：</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本招标公告于2024年</w:t>
      </w:r>
      <w:r>
        <w:rPr>
          <w:rFonts w:hint="eastAsia" w:hAnsi="宋体" w:cs="Times New Roman"/>
          <w:snapToGrid w:val="0"/>
          <w:color w:val="auto"/>
          <w:kern w:val="2"/>
          <w:sz w:val="24"/>
          <w:szCs w:val="24"/>
          <w:highlight w:val="none"/>
          <w:lang w:val="en-US" w:eastAsia="zh-CN" w:bidi="ar-SA"/>
        </w:rPr>
        <w:t>4</w:t>
      </w:r>
      <w:r>
        <w:rPr>
          <w:rFonts w:hint="eastAsia" w:ascii="宋体" w:hAnsi="宋体" w:eastAsia="宋体" w:cs="Times New Roman"/>
          <w:snapToGrid w:val="0"/>
          <w:color w:val="auto"/>
          <w:kern w:val="2"/>
          <w:sz w:val="24"/>
          <w:szCs w:val="24"/>
          <w:highlight w:val="none"/>
          <w:lang w:val="en-US" w:eastAsia="zh-CN" w:bidi="ar-SA"/>
        </w:rPr>
        <w:t>月</w:t>
      </w:r>
      <w:r>
        <w:rPr>
          <w:rFonts w:hint="eastAsia" w:hAnsi="宋体" w:cs="Times New Roman"/>
          <w:snapToGrid w:val="0"/>
          <w:color w:val="auto"/>
          <w:kern w:val="2"/>
          <w:sz w:val="24"/>
          <w:szCs w:val="24"/>
          <w:highlight w:val="none"/>
          <w:lang w:val="en-US" w:eastAsia="zh-CN" w:bidi="ar-SA"/>
        </w:rPr>
        <w:t>28</w:t>
      </w:r>
      <w:r>
        <w:rPr>
          <w:rFonts w:hint="eastAsia" w:ascii="宋体" w:hAnsi="宋体" w:eastAsia="宋体" w:cs="Times New Roman"/>
          <w:snapToGrid w:val="0"/>
          <w:color w:val="auto"/>
          <w:kern w:val="2"/>
          <w:sz w:val="24"/>
          <w:szCs w:val="24"/>
          <w:highlight w:val="none"/>
          <w:lang w:val="en-US" w:eastAsia="zh-CN" w:bidi="ar-SA"/>
        </w:rPr>
        <w:t>日在如下网站发布：</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舍得酒业股份有限公司官网（http://www.tuopaishede.cn）</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中国招标采购导航网（http://www.okcis.cn）</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中国采购与招标网（http://www.chinabidding.com.cn）</w:t>
      </w:r>
    </w:p>
    <w:p>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uto"/>
        <w:ind w:left="0" w:right="0" w:firstLine="420"/>
        <w:rPr>
          <w:rFonts w:hint="eastAsia" w:ascii="宋体" w:hAnsi="宋体" w:eastAsia="宋体" w:cs="Times New Roman"/>
          <w:snapToGrid w:val="0"/>
          <w:color w:val="auto"/>
          <w:kern w:val="2"/>
          <w:sz w:val="24"/>
          <w:szCs w:val="24"/>
          <w:highlight w:val="none"/>
          <w:lang w:val="en-US" w:eastAsia="zh-CN" w:bidi="ar-SA"/>
        </w:rPr>
      </w:pPr>
      <w:r>
        <w:rPr>
          <w:rFonts w:hint="eastAsia" w:ascii="宋体" w:hAnsi="宋体" w:eastAsia="宋体" w:cs="Times New Roman"/>
          <w:snapToGrid w:val="0"/>
          <w:color w:val="auto"/>
          <w:kern w:val="2"/>
          <w:sz w:val="24"/>
          <w:szCs w:val="24"/>
          <w:highlight w:val="none"/>
          <w:lang w:val="en-US" w:eastAsia="zh-CN" w:bidi="ar-SA"/>
        </w:rPr>
        <w:t>本公告有效期至本项目开标当日</w:t>
      </w:r>
      <w:r>
        <w:rPr>
          <w:rFonts w:hint="eastAsia" w:hAnsi="宋体" w:cs="Times New Roman"/>
          <w:snapToGrid w:val="0"/>
          <w:color w:val="auto"/>
          <w:kern w:val="2"/>
          <w:sz w:val="24"/>
          <w:szCs w:val="24"/>
          <w:highlight w:val="none"/>
          <w:lang w:val="en-US" w:eastAsia="zh-CN" w:bidi="ar-SA"/>
        </w:rPr>
        <w:t>9</w:t>
      </w:r>
      <w:r>
        <w:rPr>
          <w:rFonts w:hint="eastAsia" w:ascii="宋体" w:hAnsi="宋体" w:eastAsia="宋体" w:cs="Times New Roman"/>
          <w:snapToGrid w:val="0"/>
          <w:color w:val="auto"/>
          <w:kern w:val="2"/>
          <w:sz w:val="24"/>
          <w:szCs w:val="24"/>
          <w:highlight w:val="none"/>
          <w:lang w:val="en-US" w:eastAsia="zh-CN" w:bidi="ar-SA"/>
        </w:rPr>
        <w:t>:00截止。</w:t>
      </w:r>
    </w:p>
    <w:p>
      <w:pPr>
        <w:tabs>
          <w:tab w:val="right" w:leader="dot" w:pos="9471"/>
        </w:tabs>
        <w:spacing w:line="360" w:lineRule="auto"/>
        <w:ind w:left="0" w:leftChars="0" w:firstLine="0" w:firstLineChars="0"/>
        <w:jc w:val="left"/>
        <w:rPr>
          <w:rFonts w:hint="eastAsia" w:ascii="宋体" w:hAnsi="宋体" w:eastAsia="宋体" w:cs="Times New Roman"/>
          <w:b/>
          <w:bCs/>
          <w:snapToGrid w:val="0"/>
          <w:color w:val="auto"/>
          <w:kern w:val="2"/>
          <w:sz w:val="24"/>
          <w:szCs w:val="24"/>
          <w:highlight w:val="none"/>
          <w:lang w:val="en-US" w:eastAsia="zh-CN" w:bidi="ar-SA"/>
        </w:rPr>
      </w:pPr>
      <w:r>
        <w:rPr>
          <w:rFonts w:hint="eastAsia" w:ascii="宋体" w:hAnsi="宋体" w:eastAsia="宋体" w:cs="Times New Roman"/>
          <w:b/>
          <w:bCs/>
          <w:snapToGrid w:val="0"/>
          <w:color w:val="auto"/>
          <w:kern w:val="2"/>
          <w:sz w:val="24"/>
          <w:szCs w:val="24"/>
          <w:highlight w:val="none"/>
          <w:lang w:val="en-US" w:eastAsia="zh-CN" w:bidi="ar-SA"/>
        </w:rPr>
        <w:t>9.附件</w:t>
      </w:r>
    </w:p>
    <w:p>
      <w:pPr>
        <w:spacing w:line="360" w:lineRule="auto"/>
        <w:ind w:right="6" w:firstLine="480" w:firstLineChars="200"/>
        <w:jc w:val="left"/>
        <w:rPr>
          <w:rFonts w:hint="eastAsia" w:ascii="宋体" w:hAnsi="宋体" w:eastAsia="宋体" w:cs="Times New Roman"/>
          <w:snapToGrid w:val="0"/>
          <w:color w:val="auto"/>
          <w:kern w:val="2"/>
          <w:sz w:val="24"/>
          <w:szCs w:val="24"/>
          <w:highlight w:val="none"/>
          <w:lang w:val="zh-CN" w:eastAsia="zh-CN" w:bidi="ar-SA"/>
        </w:rPr>
      </w:pPr>
      <w:r>
        <w:rPr>
          <w:rFonts w:hint="eastAsia" w:ascii="宋体" w:hAnsi="宋体" w:eastAsia="宋体" w:cs="Times New Roman"/>
          <w:snapToGrid w:val="0"/>
          <w:color w:val="auto"/>
          <w:kern w:val="2"/>
          <w:sz w:val="24"/>
          <w:szCs w:val="24"/>
          <w:highlight w:val="none"/>
          <w:lang w:val="zh-CN" w:eastAsia="zh-CN" w:bidi="ar-SA"/>
        </w:rPr>
        <w:t>附件一：资格预审必要合格条件标准</w:t>
      </w:r>
    </w:p>
    <w:p>
      <w:pPr>
        <w:spacing w:line="360" w:lineRule="auto"/>
        <w:ind w:right="6" w:firstLine="480" w:firstLineChars="200"/>
        <w:jc w:val="left"/>
      </w:pPr>
      <w:r>
        <w:rPr>
          <w:rFonts w:hint="eastAsia" w:ascii="宋体" w:hAnsi="宋体" w:eastAsia="宋体" w:cs="Times New Roman"/>
          <w:snapToGrid w:val="0"/>
          <w:color w:val="auto"/>
          <w:kern w:val="2"/>
          <w:sz w:val="24"/>
          <w:szCs w:val="24"/>
          <w:highlight w:val="none"/>
          <w:lang w:val="zh-CN" w:eastAsia="zh-CN" w:bidi="ar-SA"/>
        </w:rPr>
        <w:t>附件二：投标预审资料提交模板（点击下载）</w:t>
      </w:r>
    </w:p>
    <w:bookmarkEnd w:id="4"/>
    <w:p>
      <w:pPr>
        <w:spacing w:line="460" w:lineRule="exact"/>
        <w:ind w:right="6" w:firstLine="480" w:firstLineChars="200"/>
        <w:jc w:val="right"/>
        <w:rPr>
          <w:rFonts w:hint="eastAsia" w:ascii="宋体" w:hAnsi="宋体" w:eastAsia="宋体" w:cs="Times New Roman"/>
          <w:snapToGrid w:val="0"/>
          <w:color w:val="auto"/>
          <w:sz w:val="24"/>
          <w:highlight w:val="none"/>
          <w:lang w:val="zh-CN"/>
        </w:rPr>
      </w:pPr>
      <w:r>
        <w:rPr>
          <w:rFonts w:hint="eastAsia" w:ascii="宋体" w:hAnsi="宋体" w:cs="宋体"/>
          <w:sz w:val="24"/>
        </w:rPr>
        <w:t xml:space="preserve">          </w:t>
      </w:r>
      <w:r>
        <w:rPr>
          <w:rFonts w:hint="eastAsia" w:ascii="宋体" w:hAnsi="宋体" w:cs="宋体"/>
          <w:spacing w:val="22"/>
          <w:sz w:val="24"/>
        </w:rPr>
        <w:t xml:space="preserve">                   </w:t>
      </w:r>
      <w:r>
        <w:rPr>
          <w:rFonts w:hint="eastAsia" w:ascii="宋体" w:hAnsi="宋体" w:cs="宋体"/>
          <w:b/>
          <w:bCs/>
          <w:spacing w:val="22"/>
          <w:sz w:val="24"/>
          <w:szCs w:val="24"/>
        </w:rPr>
        <w:t xml:space="preserve"> </w:t>
      </w:r>
      <w:r>
        <w:rPr>
          <w:rFonts w:hint="eastAsia" w:ascii="宋体" w:hAnsi="宋体" w:eastAsia="宋体" w:cs="Times New Roman"/>
          <w:snapToGrid w:val="0"/>
          <w:color w:val="auto"/>
          <w:sz w:val="24"/>
          <w:highlight w:val="none"/>
          <w:lang w:val="zh-CN"/>
        </w:rPr>
        <w:t xml:space="preserve"> 舍得酒业股份有限公司</w:t>
      </w:r>
    </w:p>
    <w:p>
      <w:pPr>
        <w:spacing w:line="460" w:lineRule="exact"/>
        <w:ind w:right="6" w:firstLine="480" w:firstLineChars="200"/>
        <w:jc w:val="right"/>
      </w:pPr>
      <w:r>
        <w:rPr>
          <w:rFonts w:hint="eastAsia" w:ascii="宋体" w:hAnsi="宋体" w:eastAsia="宋体" w:cs="Times New Roman"/>
          <w:snapToGrid w:val="0"/>
          <w:color w:val="auto"/>
          <w:sz w:val="24"/>
          <w:highlight w:val="none"/>
          <w:lang w:val="zh-CN"/>
        </w:rPr>
        <w:t>二〇二</w:t>
      </w:r>
      <w:r>
        <w:rPr>
          <w:rFonts w:hint="eastAsia" w:ascii="宋体" w:hAnsi="宋体" w:eastAsia="宋体" w:cs="Times New Roman"/>
          <w:snapToGrid w:val="0"/>
          <w:color w:val="auto"/>
          <w:sz w:val="24"/>
          <w:highlight w:val="none"/>
          <w:lang w:val="en-US" w:eastAsia="zh-CN"/>
        </w:rPr>
        <w:t>四</w:t>
      </w:r>
      <w:r>
        <w:rPr>
          <w:rFonts w:hint="eastAsia" w:ascii="宋体" w:hAnsi="宋体" w:eastAsia="宋体" w:cs="Times New Roman"/>
          <w:snapToGrid w:val="0"/>
          <w:color w:val="auto"/>
          <w:sz w:val="24"/>
          <w:highlight w:val="none"/>
          <w:lang w:val="zh-CN"/>
        </w:rPr>
        <w:t>年</w:t>
      </w:r>
      <w:r>
        <w:rPr>
          <w:rFonts w:hint="eastAsia" w:ascii="宋体" w:hAnsi="宋体" w:cs="Times New Roman"/>
          <w:snapToGrid w:val="0"/>
          <w:color w:val="auto"/>
          <w:sz w:val="24"/>
          <w:highlight w:val="none"/>
          <w:lang w:val="en-US" w:eastAsia="zh-CN"/>
        </w:rPr>
        <w:t>四</w:t>
      </w:r>
      <w:r>
        <w:rPr>
          <w:rFonts w:hint="eastAsia" w:ascii="宋体" w:hAnsi="宋体" w:eastAsia="宋体" w:cs="Times New Roman"/>
          <w:snapToGrid w:val="0"/>
          <w:color w:val="auto"/>
          <w:sz w:val="24"/>
          <w:highlight w:val="none"/>
          <w:lang w:val="zh-CN"/>
        </w:rPr>
        <w:t>月</w:t>
      </w:r>
      <w:r>
        <w:rPr>
          <w:rFonts w:hint="eastAsia" w:ascii="宋体" w:hAnsi="宋体" w:cs="Times New Roman"/>
          <w:snapToGrid w:val="0"/>
          <w:color w:val="auto"/>
          <w:sz w:val="24"/>
          <w:highlight w:val="none"/>
          <w:lang w:val="en-US" w:eastAsia="zh-CN"/>
        </w:rPr>
        <w:t>二十八</w:t>
      </w:r>
      <w:r>
        <w:rPr>
          <w:rFonts w:hint="eastAsia" w:ascii="宋体" w:hAnsi="宋体" w:eastAsia="宋体" w:cs="Times New Roman"/>
          <w:snapToGrid w:val="0"/>
          <w:color w:val="auto"/>
          <w:sz w:val="24"/>
          <w:highlight w:val="none"/>
          <w:lang w:val="zh-CN"/>
        </w:rPr>
        <w:t>日</w:t>
      </w:r>
    </w:p>
    <w:sectPr>
      <w:footerReference r:id="rId5" w:type="default"/>
      <w:pgSz w:w="11906" w:h="16838"/>
      <w:pgMar w:top="1134" w:right="1134" w:bottom="1134" w:left="113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pPr>
                      <w:pStyle w:val="6"/>
                    </w:pPr>
                    <w:r>
                      <w:fldChar w:fldCharType="begin"/>
                    </w:r>
                    <w:r>
                      <w:instrText xml:space="preserve"> PAGE  \* MERGEFORMAT </w:instrText>
                    </w:r>
                    <w:r>
                      <w:fldChar w:fldCharType="separate"/>
                    </w:r>
                    <w:r>
                      <w:t>3</w:t>
                    </w:r>
                    <w:r>
                      <w:fldChar w:fldCharType="end"/>
                    </w:r>
                  </w:p>
                </w:txbxContent>
              </v:textbox>
            </v:shape>
          </w:pict>
        </mc:Fallback>
      </mc:AlternateContent>
    </w:r>
  </w:p>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xNjA0NWRlOTFlNDBmNWRjM2Y3Zjk1OTY0M2QyNGYifQ=="/>
  </w:docVars>
  <w:rsids>
    <w:rsidRoot w:val="5C7852AD"/>
    <w:rsid w:val="05791EDF"/>
    <w:rsid w:val="0E7157CB"/>
    <w:rsid w:val="182E0907"/>
    <w:rsid w:val="2E291E44"/>
    <w:rsid w:val="442339D8"/>
    <w:rsid w:val="488066AD"/>
    <w:rsid w:val="5C7852AD"/>
    <w:rsid w:val="5D390BF4"/>
    <w:rsid w:val="60DE4622"/>
    <w:rsid w:val="7DFA5F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4">
    <w:name w:val="heading 2"/>
    <w:basedOn w:val="1"/>
    <w:next w:val="1"/>
    <w:unhideWhenUsed/>
    <w:qFormat/>
    <w:uiPriority w:val="0"/>
    <w:pPr>
      <w:keepNext/>
      <w:keepLines/>
      <w:outlineLvl w:val="1"/>
    </w:pPr>
    <w:rPr>
      <w:rFonts w:cstheme="majorBidi"/>
      <w:b/>
      <w:bCs/>
      <w:sz w:val="24"/>
      <w:szCs w:val="32"/>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5">
    <w:name w:val="Body Text"/>
    <w:basedOn w:val="1"/>
    <w:next w:val="1"/>
    <w:qFormat/>
    <w:uiPriority w:val="0"/>
    <w:rPr>
      <w:rFonts w:eastAsiaTheme="minorEastAsia" w:cstheme="minorBidi"/>
      <w:sz w:val="26"/>
    </w:rPr>
  </w:style>
  <w:style w:type="paragraph" w:styleId="6">
    <w:name w:val="footer"/>
    <w:basedOn w:val="1"/>
    <w:unhideWhenUsed/>
    <w:qFormat/>
    <w:uiPriority w:val="99"/>
    <w:pPr>
      <w:tabs>
        <w:tab w:val="center" w:pos="4153"/>
        <w:tab w:val="right" w:pos="8306"/>
      </w:tabs>
      <w:snapToGrid w:val="0"/>
      <w:spacing w:line="240" w:lineRule="auto"/>
    </w:pPr>
    <w:rPr>
      <w:sz w:val="18"/>
      <w:szCs w:val="18"/>
    </w:rPr>
  </w:style>
  <w:style w:type="paragraph" w:styleId="7">
    <w:name w:val="toc 1"/>
    <w:basedOn w:val="1"/>
    <w:next w:val="1"/>
    <w:unhideWhenUsed/>
    <w:qFormat/>
    <w:uiPriority w:val="39"/>
    <w:pPr>
      <w:tabs>
        <w:tab w:val="right" w:leader="dot" w:pos="8296"/>
      </w:tabs>
      <w:spacing w:line="360" w:lineRule="auto"/>
      <w:ind w:firstLine="0" w:firstLineChars="0"/>
    </w:pPr>
    <w:rPr>
      <w:rFonts w:ascii="方正仿宋_GBK" w:eastAsia="方正仿宋_GBK"/>
      <w:b/>
    </w:rPr>
  </w:style>
  <w:style w:type="paragraph" w:styleId="8">
    <w:name w:val="toc 2"/>
    <w:basedOn w:val="1"/>
    <w:next w:val="1"/>
    <w:unhideWhenUsed/>
    <w:qFormat/>
    <w:uiPriority w:val="39"/>
    <w:pPr>
      <w:ind w:left="420" w:leftChars="200"/>
    </w:pPr>
  </w:style>
  <w:style w:type="paragraph" w:styleId="9">
    <w:name w:val="Normal (Web)"/>
    <w:basedOn w:val="1"/>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customStyle="1" w:styleId="12">
    <w:name w:val="样式1"/>
    <w:basedOn w:val="1"/>
    <w:autoRedefine/>
    <w:qFormat/>
    <w:uiPriority w:val="0"/>
    <w:pPr>
      <w:adjustRightInd w:val="0"/>
      <w:snapToGrid w:val="0"/>
      <w:ind w:firstLine="0" w:firstLineChars="0"/>
    </w:pPr>
    <w:rPr>
      <w:rFonts w:ascii="宋体" w:hAnsi="宋体"/>
    </w:rPr>
  </w:style>
  <w:style w:type="paragraph" w:styleId="13">
    <w:name w:val="List Paragraph"/>
    <w:basedOn w:val="1"/>
    <w:autoRedefine/>
    <w:qFormat/>
    <w:uiPriority w:val="0"/>
    <w:pPr>
      <w:ind w:firstLine="420"/>
    </w:pPr>
  </w:style>
  <w:style w:type="paragraph" w:customStyle="1" w:styleId="14">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9</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2024-04-27T05:27:00Z</dcterms:created>
  <dc:creator>李敏</dc:creator>
  <cp:lastModifiedBy>李敏</cp:lastModifiedBy>
  <dcterms:modified xsi:type="dcterms:W3CDTF">2024-04-27T05:57:19Z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4CA874C7FB924637A1192D49DC91FD1F_11</vt:lpwstr>
  </property>
</Properties>
</file>