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宋体" w:hAnsi="宋体" w:cs="宋体"/>
          <w:b/>
          <w:bCs/>
          <w:sz w:val="32"/>
          <w:szCs w:val="32"/>
        </w:rPr>
      </w:pPr>
      <w:r>
        <w:rPr>
          <w:rFonts w:hint="eastAsia" w:ascii="宋体" w:hAnsi="宋体" w:cs="宋体"/>
          <w:b/>
          <w:bCs/>
          <w:sz w:val="32"/>
          <w:szCs w:val="32"/>
        </w:rPr>
        <w:t>附件二：</w:t>
      </w:r>
    </w:p>
    <w:p>
      <w:pPr>
        <w:adjustRightInd w:val="0"/>
        <w:snapToGrid w:val="0"/>
        <w:spacing w:line="360" w:lineRule="auto"/>
        <w:ind w:firstLine="643" w:firstLineChars="200"/>
        <w:jc w:val="center"/>
        <w:rPr>
          <w:rFonts w:ascii="宋体" w:hAnsi="宋体" w:cs="宋体"/>
          <w:b/>
          <w:bCs/>
          <w:sz w:val="32"/>
          <w:szCs w:val="32"/>
        </w:rPr>
      </w:pPr>
      <w:r>
        <w:rPr>
          <w:rFonts w:hint="eastAsia" w:ascii="宋体" w:hAnsi="宋体" w:cs="宋体"/>
          <w:b/>
          <w:bCs/>
          <w:sz w:val="32"/>
          <w:szCs w:val="32"/>
        </w:rPr>
        <w:t>投标预审资料提交模板</w:t>
      </w:r>
    </w:p>
    <w:p>
      <w:pPr>
        <w:pStyle w:val="4"/>
        <w:rPr>
          <w:rFonts w:hint="eastAsia"/>
        </w:rPr>
      </w:pP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lang w:val="en-US" w:eastAsia="zh-CN"/>
        </w:rPr>
        <w:t>投标人</w:t>
      </w:r>
      <w:r>
        <w:rPr>
          <w:rFonts w:hint="eastAsia" w:ascii="仿宋" w:hAnsi="仿宋" w:eastAsia="仿宋"/>
          <w:sz w:val="32"/>
          <w:szCs w:val="32"/>
        </w:rPr>
        <w:t>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587" w:bottom="1440" w:left="1587" w:header="851" w:footer="992" w:gutter="0"/>
          <w:pgNumType w:fmt="decimal" w:start="1"/>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5"/>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pPr>
        <w:pStyle w:val="5"/>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pPr>
        <w:pStyle w:val="2"/>
        <w:spacing w:line="480" w:lineRule="auto"/>
        <w:sectPr>
          <w:pgSz w:w="11906" w:h="16838"/>
          <w:pgMar w:top="1440" w:right="1800" w:bottom="1440" w:left="1800" w:header="851" w:footer="992" w:gutter="0"/>
          <w:pgNumType w:fmt="decimal"/>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pPr>
        <w:pStyle w:val="9"/>
        <w:numPr>
          <w:ilvl w:val="0"/>
          <w:numId w:val="1"/>
        </w:numPr>
        <w:ind w:firstLineChars="0"/>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pPr>
        <w:pStyle w:val="9"/>
        <w:numPr>
          <w:ilvl w:val="0"/>
          <w:numId w:val="1"/>
        </w:numPr>
        <w:ind w:firstLineChars="0"/>
      </w:pPr>
      <w:r>
        <w:rPr>
          <w:rFonts w:hint="eastAsia" w:ascii="仿宋" w:hAnsi="仿宋" w:eastAsia="仿宋" w:cs="仿宋"/>
          <w:b/>
          <w:bCs/>
          <w:szCs w:val="36"/>
        </w:rPr>
        <w:t>投标人提供资格预审资料不符合招标公告规定投标条件的，将被判定为资格审查不合格，并作否决投标处理。</w:t>
      </w:r>
    </w:p>
    <w:p>
      <w:pPr>
        <w:pStyle w:val="2"/>
        <w:numPr>
          <w:ilvl w:val="0"/>
          <w:numId w:val="2"/>
        </w:numPr>
        <w:ind w:left="-567" w:leftChars="-270" w:firstLine="563" w:firstLineChars="176"/>
      </w:pPr>
      <w:bookmarkStart w:id="0" w:name="_Toc12075"/>
      <w:r>
        <w:rPr>
          <w:rFonts w:hint="eastAsia"/>
        </w:rPr>
        <w:t>采购项目供应商资格审核明细表</w:t>
      </w:r>
      <w:bookmarkEnd w:id="0"/>
    </w:p>
    <w:tbl>
      <w:tblPr>
        <w:tblStyle w:val="7"/>
        <w:tblW w:w="5179" w:type="pct"/>
        <w:jc w:val="center"/>
        <w:tblLayout w:type="fixed"/>
        <w:tblCellMar>
          <w:top w:w="0" w:type="dxa"/>
          <w:left w:w="108" w:type="dxa"/>
          <w:bottom w:w="0" w:type="dxa"/>
          <w:right w:w="108" w:type="dxa"/>
        </w:tblCellMar>
      </w:tblPr>
      <w:tblGrid>
        <w:gridCol w:w="445"/>
        <w:gridCol w:w="2781"/>
        <w:gridCol w:w="3305"/>
        <w:gridCol w:w="2295"/>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szCs w:val="21"/>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pPr>
        <w:pStyle w:val="2"/>
        <w:numPr>
          <w:ilvl w:val="0"/>
          <w:numId w:val="2"/>
        </w:numPr>
      </w:pPr>
      <w:bookmarkStart w:id="1" w:name="_Toc31482"/>
      <w:r>
        <w:rPr>
          <w:rFonts w:hint="eastAsia"/>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2"/>
        <w:numPr>
          <w:ilvl w:val="0"/>
          <w:numId w:val="2"/>
        </w:numPr>
      </w:pPr>
      <w:bookmarkStart w:id="2" w:name="_Toc381"/>
      <w:r>
        <w:rPr>
          <w:rFonts w:hint="eastAsia"/>
        </w:rPr>
        <w:t>实缴资本证明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2"/>
        <w:numPr>
          <w:ilvl w:val="0"/>
          <w:numId w:val="2"/>
        </w:numPr>
      </w:pPr>
      <w:bookmarkStart w:id="3" w:name="_Toc10002"/>
      <w:r>
        <w:rPr>
          <w:rFonts w:hint="eastAsia"/>
        </w:rPr>
        <w:t>参保人数证明</w:t>
      </w:r>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2"/>
        <w:numPr>
          <w:ilvl w:val="0"/>
          <w:numId w:val="2"/>
        </w:numPr>
      </w:pPr>
      <w:bookmarkStart w:id="4" w:name="_Toc26155"/>
      <w:r>
        <w:rPr>
          <w:rFonts w:hint="eastAsia"/>
        </w:rPr>
        <w:t>投标授权委托书</w:t>
      </w:r>
      <w:bookmarkEnd w:id="4"/>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4"/>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rPr>
          <w:lang w:bidi="en-US"/>
        </w:rPr>
      </w:pP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2"/>
        <w:numPr>
          <w:ilvl w:val="0"/>
          <w:numId w:val="2"/>
        </w:numPr>
      </w:pPr>
      <w:bookmarkStart w:id="5" w:name="_Toc18372"/>
      <w:r>
        <w:rPr>
          <w:rFonts w:hint="eastAsia"/>
        </w:rPr>
        <w:t>被委托人社保缴纳证明</w:t>
      </w:r>
      <w:bookmarkEnd w:id="5"/>
    </w:p>
    <w:p>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rPr>
        <w:t xml:space="preserve"> </w:t>
      </w:r>
      <w:r>
        <w:rPr>
          <w:rFonts w:hint="eastAsia" w:ascii="仿宋" w:hAnsi="仿宋" w:eastAsia="仿宋"/>
          <w:sz w:val="24"/>
          <w:lang w:bidi="en-US"/>
        </w:rPr>
        <w:t>提供被委托人社保缴纳证明或第三方网站截图</w:t>
      </w:r>
    </w:p>
    <w:p>
      <w:pPr>
        <w:pStyle w:val="4"/>
        <w:rPr>
          <w:rFonts w:hint="eastAsia" w:ascii="仿宋" w:hAnsi="仿宋" w:eastAsia="仿宋"/>
          <w:sz w:val="24"/>
          <w:lang w:bidi="en-US"/>
        </w:rPr>
      </w:pPr>
    </w:p>
    <w:p>
      <w:pPr>
        <w:rPr>
          <w:rFonts w:hint="eastAsia" w:ascii="仿宋" w:hAnsi="仿宋" w:eastAsia="仿宋"/>
          <w:sz w:val="24"/>
          <w:lang w:bidi="en-US"/>
        </w:rPr>
      </w:pPr>
    </w:p>
    <w:p>
      <w:pPr>
        <w:pStyle w:val="4"/>
        <w:rPr>
          <w:rFonts w:hint="eastAsia" w:ascii="仿宋" w:hAnsi="仿宋" w:eastAsia="仿宋"/>
          <w:sz w:val="24"/>
          <w:lang w:bidi="en-US"/>
        </w:rPr>
      </w:pPr>
    </w:p>
    <w:p/>
    <w:p>
      <w:pPr>
        <w:pStyle w:val="2"/>
        <w:numPr>
          <w:ilvl w:val="0"/>
          <w:numId w:val="2"/>
        </w:numPr>
      </w:pPr>
      <w:bookmarkStart w:id="6" w:name="_Toc31558"/>
      <w:r>
        <w:rPr>
          <w:rFonts w:hint="eastAsia"/>
        </w:rPr>
        <w:t>承诺书</w:t>
      </w:r>
      <w:bookmarkEnd w:id="6"/>
    </w:p>
    <w:p>
      <w:pPr>
        <w:pStyle w:val="10"/>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pPr>
        <w:pStyle w:val="10"/>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0"/>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0"/>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0"/>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0"/>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0"/>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0"/>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0"/>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0"/>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0"/>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0"/>
        <w:spacing w:line="400" w:lineRule="exact"/>
        <w:ind w:firstLine="480" w:firstLineChars="200"/>
        <w:rPr>
          <w:rFonts w:hint="eastAsia" w:ascii="仿宋" w:hAnsi="仿宋" w:eastAsia="仿宋"/>
        </w:rPr>
      </w:pPr>
    </w:p>
    <w:p>
      <w:pPr>
        <w:pStyle w:val="6"/>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pPr>
        <w:pStyle w:val="6"/>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pPr>
        <w:pStyle w:val="6"/>
        <w:shd w:val="clear" w:color="auto" w:fill="FFFFFF"/>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pPr>
        <w:pStyle w:val="2"/>
        <w:numPr>
          <w:ilvl w:val="0"/>
          <w:numId w:val="2"/>
        </w:numPr>
        <w:rPr>
          <w:lang w:bidi="en-US"/>
        </w:rPr>
      </w:pPr>
      <w:bookmarkStart w:id="7" w:name="_Toc1731"/>
      <w:r>
        <w:rPr>
          <w:rFonts w:hint="eastAsia" w:ascii="宋体" w:hAnsi="宋体" w:cs="微软雅黑"/>
          <w:sz w:val="30"/>
          <w:szCs w:val="30"/>
        </w:rPr>
        <w:t>廉洁保密承诺书</w:t>
      </w:r>
      <w:bookmarkEnd w:id="7"/>
    </w:p>
    <w:p>
      <w:pPr>
        <w:jc w:val="center"/>
        <w:rPr>
          <w:lang w:bidi="en-US"/>
        </w:rPr>
      </w:pPr>
      <w:r>
        <w:rPr>
          <w:rFonts w:hint="eastAsia" w:ascii="宋体" w:hAnsi="宋体" w:cs="微软雅黑"/>
          <w:b/>
          <w:bCs/>
          <w:sz w:val="30"/>
          <w:szCs w:val="30"/>
        </w:rPr>
        <w:t>招投标/业务合作廉洁保密承诺书</w:t>
      </w:r>
    </w:p>
    <w:p>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r>
        <w:rPr>
          <w:rFonts w:hint="eastAsia" w:ascii="仿宋" w:hAnsi="仿宋" w:eastAsia="仿宋" w:cs="仿宋"/>
        </w:rPr>
        <w:t>）</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2"/>
        <w:numPr>
          <w:ilvl w:val="0"/>
          <w:numId w:val="2"/>
        </w:numPr>
        <w:rPr>
          <w:lang w:bidi="en-US"/>
        </w:rPr>
      </w:pPr>
      <w:bookmarkStart w:id="8" w:name="_Toc28835"/>
      <w:r>
        <w:rPr>
          <w:rFonts w:hint="eastAsia"/>
          <w:lang w:bidi="en-US"/>
        </w:rPr>
        <w:t>关联公司证明</w:t>
      </w:r>
      <w:bookmarkEnd w:id="8"/>
    </w:p>
    <w:p>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pPr>
        <w:rPr>
          <w:lang w:bidi="en-US"/>
        </w:rPr>
      </w:pPr>
      <w:r>
        <w:rPr>
          <w:rFonts w:hint="eastAsia"/>
          <w:lang w:bidi="en-US"/>
        </w:rPr>
        <w:t xml:space="preserve"> </w:t>
      </w:r>
    </w:p>
    <w:p>
      <w:pPr>
        <w:pStyle w:val="2"/>
        <w:numPr>
          <w:ilvl w:val="0"/>
          <w:numId w:val="2"/>
        </w:numPr>
      </w:pPr>
      <w:bookmarkStart w:id="9" w:name="_Toc1920"/>
      <w:r>
        <w:rPr>
          <w:rFonts w:hint="eastAsia"/>
        </w:rPr>
        <w:t>诚信度</w:t>
      </w:r>
      <w:bookmarkEnd w:id="9"/>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2"/>
        <w:numPr>
          <w:ilvl w:val="0"/>
          <w:numId w:val="2"/>
        </w:numPr>
      </w:pPr>
      <w:bookmarkStart w:id="10" w:name="_Toc11363"/>
      <w:r>
        <w:rPr>
          <w:rFonts w:hint="eastAsia"/>
        </w:rPr>
        <w:t>财务状况</w:t>
      </w:r>
      <w:bookmarkEnd w:id="10"/>
    </w:p>
    <w:p>
      <w:pPr>
        <w:tabs>
          <w:tab w:val="right" w:leader="dot" w:pos="9471"/>
        </w:tabs>
        <w:adjustRightInd w:val="0"/>
        <w:snapToGrid w:val="0"/>
        <w:spacing w:line="360" w:lineRule="auto"/>
      </w:pPr>
      <w:r>
        <w:rPr>
          <w:rFonts w:hint="eastAsia" w:ascii="仿宋" w:hAnsi="仿宋" w:eastAsia="仿宋"/>
          <w:sz w:val="24"/>
          <w:lang w:bidi="en-US"/>
        </w:rPr>
        <w:t>提供2021-2023年的财务三表（资产负债表、现金流量表、利润表）。</w:t>
      </w:r>
    </w:p>
    <w:p>
      <w:pPr>
        <w:pStyle w:val="2"/>
        <w:numPr>
          <w:ilvl w:val="0"/>
          <w:numId w:val="2"/>
        </w:numPr>
      </w:pPr>
      <w:bookmarkStart w:id="11" w:name="_Toc14096"/>
      <w:r>
        <w:rPr>
          <w:rFonts w:hint="eastAsia"/>
        </w:rPr>
        <w:t>同类</w:t>
      </w:r>
      <w:r>
        <w:t>业绩</w:t>
      </w:r>
      <w:r>
        <w:rPr>
          <w:rFonts w:hint="eastAsia"/>
        </w:rPr>
        <w:t>一栏表</w:t>
      </w:r>
      <w:bookmarkEnd w:id="11"/>
    </w:p>
    <w:p>
      <w:pPr>
        <w:spacing w:line="460" w:lineRule="exact"/>
        <w:ind w:firstLine="480" w:firstLineChars="200"/>
        <w:rPr>
          <w:rFonts w:hint="eastAsia" w:ascii="宋体" w:hAnsi="宋体" w:cs="宋体"/>
          <w:sz w:val="24"/>
        </w:rPr>
      </w:pPr>
      <w:r>
        <w:rPr>
          <w:rFonts w:hint="eastAsia" w:ascii="仿宋" w:hAnsi="仿宋" w:eastAsia="仿宋"/>
          <w:sz w:val="24"/>
          <w:lang w:bidi="en-US"/>
        </w:rPr>
        <w:t>提供</w:t>
      </w:r>
      <w:r>
        <w:rPr>
          <w:rFonts w:hint="eastAsia" w:ascii="宋体" w:hAnsi="宋体" w:cs="宋体"/>
          <w:sz w:val="24"/>
        </w:rPr>
        <w:t>近</w:t>
      </w:r>
      <w:r>
        <w:rPr>
          <w:rFonts w:hint="eastAsia" w:ascii="宋体" w:hAnsi="宋体" w:cs="宋体"/>
          <w:sz w:val="24"/>
          <w:lang w:val="en-US" w:eastAsia="zh-CN"/>
        </w:rPr>
        <w:t>2</w:t>
      </w:r>
      <w:r>
        <w:rPr>
          <w:rFonts w:hint="eastAsia" w:ascii="宋体" w:hAnsi="宋体" w:cs="宋体"/>
          <w:sz w:val="24"/>
        </w:rPr>
        <w:t>年</w:t>
      </w:r>
      <w:r>
        <w:rPr>
          <w:rFonts w:hint="eastAsia" w:ascii="宋体" w:hAnsi="宋体" w:cs="宋体"/>
          <w:bCs/>
          <w:snapToGrid w:val="0"/>
          <w:color w:val="auto"/>
          <w:kern w:val="0"/>
          <w:sz w:val="24"/>
          <w:highlight w:val="none"/>
        </w:rPr>
        <w:t>（202</w:t>
      </w:r>
      <w:r>
        <w:rPr>
          <w:rFonts w:hint="eastAsia" w:ascii="宋体" w:hAnsi="宋体" w:cs="宋体"/>
          <w:bCs/>
          <w:snapToGrid w:val="0"/>
          <w:color w:val="auto"/>
          <w:kern w:val="0"/>
          <w:sz w:val="24"/>
          <w:highlight w:val="none"/>
          <w:lang w:val="en-US" w:eastAsia="zh-CN"/>
        </w:rPr>
        <w:t>2</w:t>
      </w:r>
      <w:r>
        <w:rPr>
          <w:rFonts w:hint="eastAsia" w:ascii="宋体" w:hAnsi="宋体" w:cs="宋体"/>
          <w:bCs/>
          <w:snapToGrid w:val="0"/>
          <w:color w:val="auto"/>
          <w:kern w:val="0"/>
          <w:sz w:val="24"/>
          <w:highlight w:val="none"/>
        </w:rPr>
        <w:t>年1月1日至今）</w:t>
      </w:r>
      <w:r>
        <w:rPr>
          <w:rFonts w:hint="eastAsia" w:ascii="宋体" w:hAnsi="宋体" w:eastAsia="宋体" w:cs="宋体"/>
          <w:color w:val="auto"/>
          <w:kern w:val="0"/>
          <w:sz w:val="24"/>
          <w:szCs w:val="24"/>
          <w:lang w:bidi="ar"/>
        </w:rPr>
        <w:t>一般</w:t>
      </w:r>
      <w:r>
        <w:rPr>
          <w:rFonts w:hint="eastAsia" w:ascii="宋体" w:hAnsi="宋体" w:cs="宋体"/>
          <w:bCs/>
          <w:snapToGrid w:val="0"/>
          <w:color w:val="auto"/>
          <w:kern w:val="0"/>
          <w:sz w:val="24"/>
          <w:highlight w:val="none"/>
          <w:lang w:val="en-US" w:eastAsia="zh-CN"/>
        </w:rPr>
        <w:t>工业</w:t>
      </w:r>
      <w:r>
        <w:rPr>
          <w:rFonts w:hint="eastAsia" w:ascii="宋体" w:hAnsi="宋体" w:cs="宋体"/>
          <w:color w:val="auto"/>
          <w:sz w:val="24"/>
          <w:highlight w:val="none"/>
          <w:lang w:val="en-US" w:eastAsia="zh-CN"/>
        </w:rPr>
        <w:t>污泥安全处置</w:t>
      </w:r>
      <w:r>
        <w:rPr>
          <w:rFonts w:hint="eastAsia" w:ascii="宋体" w:hAnsi="宋体" w:cs="宋体"/>
          <w:color w:val="auto"/>
          <w:sz w:val="24"/>
          <w:highlight w:val="none"/>
        </w:rPr>
        <w:t>案例不少于1例。</w:t>
      </w:r>
    </w:p>
    <w:p>
      <w:pPr>
        <w:adjustRightInd w:val="0"/>
        <w:snapToGrid w:val="0"/>
        <w:spacing w:line="360" w:lineRule="auto"/>
        <w:rPr>
          <w:rFonts w:hint="eastAsia" w:ascii="仿宋" w:hAnsi="仿宋" w:eastAsia="仿宋"/>
          <w:sz w:val="24"/>
          <w:lang w:bidi="en-US"/>
        </w:rPr>
      </w:pPr>
    </w:p>
    <w:tbl>
      <w:tblPr>
        <w:tblStyle w:val="7"/>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pPr>
              <w:jc w:val="center"/>
              <w:rPr>
                <w:rFonts w:ascii="仿宋" w:hAnsi="仿宋" w:eastAsia="仿宋" w:cs="仿宋"/>
              </w:rPr>
            </w:pPr>
            <w:r>
              <w:rPr>
                <w:rFonts w:hint="eastAsia" w:ascii="仿宋" w:hAnsi="仿宋" w:eastAsia="仿宋" w:cs="仿宋"/>
              </w:rPr>
              <w:t>序号</w:t>
            </w:r>
          </w:p>
        </w:tc>
        <w:tc>
          <w:tcPr>
            <w:tcW w:w="1680" w:type="dxa"/>
            <w:noWrap w:val="0"/>
            <w:vAlign w:val="center"/>
          </w:tcPr>
          <w:p>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bl>
    <w:p>
      <w:pPr>
        <w:pStyle w:val="2"/>
        <w:numPr>
          <w:ilvl w:val="0"/>
          <w:numId w:val="2"/>
        </w:numPr>
      </w:pPr>
      <w:bookmarkStart w:id="12" w:name="_Toc32186"/>
      <w: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提供合同等业绩证明，与第十二条同类业绩一览表对应。</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提供业绩合同的首页、盖章页及能体现合同服务内容、供货范围、地点、时间及金额等与本项目相关部分复印件，以及对应项目发票复印件、并加盖公司公章。</w:t>
      </w:r>
    </w:p>
    <w:p>
      <w:pPr>
        <w:pStyle w:val="4"/>
        <w:rPr>
          <w:rFonts w:hint="eastAsia" w:ascii="仿宋" w:hAnsi="仿宋" w:eastAsia="仿宋"/>
          <w:sz w:val="24"/>
          <w:lang w:bidi="en-US"/>
        </w:rPr>
      </w:pPr>
    </w:p>
    <w:p>
      <w:pPr>
        <w:rPr>
          <w:rFonts w:hint="eastAsia" w:ascii="仿宋" w:hAnsi="仿宋" w:eastAsia="仿宋"/>
          <w:sz w:val="24"/>
          <w:lang w:bidi="en-US"/>
        </w:rPr>
      </w:pPr>
    </w:p>
    <w:p>
      <w:pPr>
        <w:pStyle w:val="4"/>
        <w:rPr>
          <w:rFonts w:hint="eastAsia"/>
        </w:rPr>
      </w:pPr>
    </w:p>
    <w:p>
      <w:pPr>
        <w:pStyle w:val="2"/>
        <w:numPr>
          <w:ilvl w:val="0"/>
          <w:numId w:val="2"/>
        </w:numPr>
      </w:pPr>
      <w:bookmarkStart w:id="13" w:name="_Toc15769"/>
      <w:r>
        <w:rPr>
          <w:rFonts w:hint="eastAsia"/>
        </w:rPr>
        <w:t>供应商调查问卷</w:t>
      </w:r>
      <w:bookmarkEnd w:id="13"/>
    </w:p>
    <w:p>
      <w:pPr>
        <w:spacing w:line="540" w:lineRule="exact"/>
        <w:jc w:val="center"/>
        <w:rPr>
          <w:rFonts w:ascii="宋体" w:hAnsi="宋体" w:cs="宋体"/>
          <w:b/>
          <w:sz w:val="28"/>
          <w:szCs w:val="28"/>
        </w:rPr>
      </w:pPr>
      <w:bookmarkStart w:id="14" w:name="OLE_LINK3"/>
      <w:bookmarkStart w:id="15" w:name="OLE_LINK5"/>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4"/>
    <w:bookmarkEnd w:id="15"/>
    <w:p>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7"/>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9"/>
              <w:numPr>
                <w:ilvl w:val="0"/>
                <w:numId w:val="3"/>
              </w:numPr>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9"/>
              <w:numPr>
                <w:ilvl w:val="0"/>
                <w:numId w:val="3"/>
              </w:numPr>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9"/>
              <w:numPr>
                <w:ilvl w:val="0"/>
                <w:numId w:val="3"/>
              </w:numPr>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9"/>
              <w:numPr>
                <w:ilvl w:val="0"/>
                <w:numId w:val="4"/>
              </w:numPr>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9"/>
              <w:numPr>
                <w:ilvl w:val="0"/>
                <w:numId w:val="4"/>
              </w:numPr>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9"/>
              <w:numPr>
                <w:ilvl w:val="0"/>
                <w:numId w:val="4"/>
              </w:numPr>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9"/>
              <w:numPr>
                <w:ilvl w:val="0"/>
                <w:numId w:val="5"/>
              </w:numPr>
              <w:ind w:firstLineChars="0"/>
              <w:rPr>
                <w:rFonts w:ascii="仿宋" w:hAnsi="仿宋" w:eastAsia="仿宋" w:cs="仿宋"/>
                <w:sz w:val="18"/>
                <w:szCs w:val="18"/>
              </w:rPr>
            </w:pPr>
            <w:r>
              <w:rPr>
                <w:rFonts w:hint="eastAsia" w:ascii="仿宋" w:hAnsi="仿宋" w:eastAsia="仿宋" w:cs="仿宋"/>
                <w:sz w:val="18"/>
                <w:szCs w:val="18"/>
              </w:rPr>
              <w:t>总人数</w:t>
            </w:r>
          </w:p>
          <w:p>
            <w:pPr>
              <w:pStyle w:val="9"/>
              <w:numPr>
                <w:ilvl w:val="0"/>
                <w:numId w:val="5"/>
              </w:numPr>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9"/>
              <w:numPr>
                <w:ilvl w:val="0"/>
                <w:numId w:val="5"/>
              </w:numPr>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9"/>
              <w:numPr>
                <w:ilvl w:val="0"/>
                <w:numId w:val="5"/>
              </w:numPr>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hint="eastAsia" w:ascii="仿宋" w:hAnsi="仿宋" w:eastAsia="仿宋" w:cs="仿宋"/>
          <w:b/>
          <w:sz w:val="24"/>
        </w:rPr>
      </w:pPr>
    </w:p>
    <w:p>
      <w:pPr>
        <w:pStyle w:val="2"/>
        <w:numPr>
          <w:ilvl w:val="0"/>
          <w:numId w:val="2"/>
        </w:numPr>
      </w:pPr>
      <w:bookmarkStart w:id="16" w:name="_Toc10904"/>
      <w:r>
        <w:rPr>
          <w:rFonts w:hint="eastAsia"/>
        </w:rPr>
        <w:t>其他有必要的资质及补充资料</w:t>
      </w:r>
      <w:bookmarkEnd w:id="16"/>
    </w:p>
    <w:p>
      <w:pPr>
        <w:rPr>
          <w:rFonts w:hint="eastAsia" w:ascii="宋体" w:hAnsi="宋体" w:cs="宋体"/>
          <w:b/>
          <w:sz w:val="30"/>
          <w:szCs w:val="30"/>
        </w:rPr>
      </w:pPr>
      <w:r>
        <w:rPr>
          <w:rFonts w:hint="eastAsia" w:ascii="仿宋" w:hAnsi="仿宋" w:eastAsia="仿宋"/>
          <w:color w:val="000000"/>
        </w:rPr>
        <w:t>如：企业简介、重大获奖证书等</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bookmarkStart w:id="17" w:name="_GoBack"/>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页</w:t>
                    </w:r>
                  </w:p>
                </w:txbxContent>
              </v:textbox>
            </v:shape>
          </w:pict>
        </mc:Fallback>
      </mc:AlternateContent>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2MmQ2OTZiODQzMGIwZGIxOGJiZTA0MGZiNDA5MWYifQ=="/>
  </w:docVars>
  <w:rsids>
    <w:rsidRoot w:val="593A1E7A"/>
    <w:rsid w:val="593A1E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kern w:val="0"/>
      <w:sz w:val="18"/>
      <w:szCs w:val="18"/>
    </w:rPr>
  </w:style>
  <w:style w:type="paragraph" w:styleId="4">
    <w:name w:val="toc 1"/>
    <w:basedOn w:val="1"/>
    <w:next w:val="1"/>
    <w:qFormat/>
    <w:uiPriority w:val="39"/>
    <w:pPr>
      <w:widowControl/>
      <w:spacing w:before="120" w:after="120" w:line="360" w:lineRule="auto"/>
      <w:jc w:val="left"/>
    </w:pPr>
    <w:rPr>
      <w:rFonts w:ascii="Calibri" w:hAnsi="Calibri"/>
      <w:b/>
      <w:caps/>
      <w:kern w:val="0"/>
      <w:szCs w:val="20"/>
    </w:rPr>
  </w:style>
  <w:style w:type="paragraph" w:styleId="5">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6">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9">
    <w:name w:val="List Paragraph"/>
    <w:basedOn w:val="1"/>
    <w:qFormat/>
    <w:uiPriority w:val="1"/>
    <w:pPr>
      <w:ind w:firstLine="420" w:firstLineChars="200"/>
    </w:pPr>
  </w:style>
  <w:style w:type="paragraph" w:customStyle="1" w:styleId="1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2024-06-21T01:02:00Z</dcterms:created>
  <dc:creator>swl</dc:creator>
  <cp:lastModifiedBy>swl</cp:lastModifiedBy>
  <dcterms:modified xsi:type="dcterms:W3CDTF">2024-06-21T01:03:16Z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8EF1AC061B30404BAEC1FB28F678C3F2_11</vt:lpwstr>
  </property>
</Properties>
</file>