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adjustRightInd w:val="0"/>
        <w:snapToGrid w:val="0"/>
        <w:spacing w:line="360" w:lineRule="auto"/>
        <w:jc w:val="center"/>
        <w:rPr>
          <w:rFonts w:hint="eastAsia" w:ascii="仿宋" w:hAnsi="仿宋" w:eastAsia="仿宋"/>
          <w:b/>
          <w:sz w:val="28"/>
          <w:szCs w:val="28"/>
          <w:lang w:eastAsia="zh-CN"/>
        </w:rPr>
      </w:pPr>
      <w:r>
        <w:rPr>
          <w:rFonts w:hint="eastAsia" w:ascii="仿宋" w:hAnsi="仿宋" w:eastAsia="仿宋"/>
          <w:b/>
          <w:sz w:val="28"/>
          <w:szCs w:val="28"/>
          <w:lang w:eastAsia="zh-CN"/>
        </w:rPr>
        <w:t>復豫酒業（香港）有限公司</w:t>
      </w:r>
    </w:p>
    <w:p>
      <w:pPr>
        <w:adjustRightInd w:val="0"/>
        <w:snapToGrid w:val="0"/>
        <w:spacing w:line="360" w:lineRule="auto"/>
        <w:jc w:val="center"/>
        <w:rPr>
          <w:rFonts w:ascii="仿宋" w:hAnsi="仿宋" w:eastAsia="仿宋"/>
          <w:b/>
          <w:bCs/>
          <w:sz w:val="32"/>
          <w:szCs w:val="32"/>
        </w:rPr>
      </w:pPr>
      <w:r>
        <w:rPr>
          <w:rFonts w:hint="default" w:ascii="仿宋" w:hAnsi="仿宋" w:eastAsia="仿宋"/>
          <w:bCs/>
          <w:sz w:val="28"/>
          <w:szCs w:val="28"/>
          <w:lang w:val="en-US"/>
        </w:rPr>
        <w:t>舍得酒欧洲新品发布会策划执行及新媒</w:t>
      </w:r>
      <w:r>
        <w:rPr>
          <w:rFonts w:hint="default" w:ascii="仿宋" w:hAnsi="仿宋" w:eastAsia="仿宋" w:cs="Times New Roman"/>
          <w:bCs/>
          <w:sz w:val="28"/>
          <w:szCs w:val="28"/>
          <w:lang w:val="en-US"/>
        </w:rPr>
        <w:t>体传播项目招标公告</w:t>
      </w:r>
    </w:p>
    <w:p>
      <w:pPr>
        <w:adjustRightInd w:val="0"/>
        <w:snapToGrid w:val="0"/>
        <w:spacing w:line="360" w:lineRule="auto"/>
        <w:jc w:val="center"/>
        <w:rPr>
          <w:rFonts w:hint="default" w:ascii="仿宋" w:hAnsi="仿宋" w:eastAsia="仿宋"/>
          <w:sz w:val="28"/>
          <w:szCs w:val="28"/>
          <w:lang w:val="en-US"/>
        </w:rPr>
      </w:pPr>
      <w:r>
        <w:rPr>
          <w:rFonts w:hint="eastAsia" w:ascii="仿宋" w:hAnsi="仿宋" w:eastAsia="仿宋"/>
          <w:sz w:val="28"/>
          <w:szCs w:val="28"/>
        </w:rPr>
        <w:t>舍司招（</w:t>
      </w:r>
      <w:r>
        <w:rPr>
          <w:rFonts w:ascii="仿宋" w:hAnsi="仿宋" w:eastAsia="仿宋"/>
          <w:sz w:val="28"/>
          <w:szCs w:val="28"/>
        </w:rPr>
        <w:t>2024)-ZC3-</w:t>
      </w:r>
      <w:r>
        <w:rPr>
          <w:rFonts w:hint="default" w:ascii="仿宋" w:hAnsi="仿宋" w:eastAsia="仿宋"/>
          <w:sz w:val="28"/>
          <w:szCs w:val="28"/>
          <w:lang w:val="en-US"/>
        </w:rPr>
        <w:t>28</w:t>
      </w:r>
    </w:p>
    <w:p>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cs="Times New Roman"/>
          <w:sz w:val="28"/>
          <w:szCs w:val="28"/>
        </w:rPr>
        <w:t>为配合</w:t>
      </w:r>
      <w:r>
        <w:rPr>
          <w:rFonts w:hint="eastAsia" w:ascii="仿宋" w:hAnsi="仿宋" w:eastAsia="仿宋" w:cs="Times New Roman"/>
          <w:sz w:val="28"/>
          <w:szCs w:val="28"/>
          <w:lang w:eastAsia="zh-CN"/>
        </w:rPr>
        <w:t>復豫酒業（香港）有限公司</w:t>
      </w:r>
      <w:r>
        <w:rPr>
          <w:rFonts w:hint="eastAsia" w:ascii="仿宋" w:hAnsi="仿宋" w:eastAsia="仿宋" w:cs="Times New Roman"/>
          <w:sz w:val="28"/>
          <w:szCs w:val="28"/>
        </w:rPr>
        <w:t>业务的需要</w:t>
      </w:r>
      <w:r>
        <w:rPr>
          <w:rFonts w:hint="eastAsia" w:ascii="仿宋" w:hAnsi="仿宋" w:eastAsia="仿宋"/>
          <w:sz w:val="28"/>
          <w:szCs w:val="28"/>
        </w:rPr>
        <w:t>，本公司需对</w:t>
      </w:r>
      <w:r>
        <w:rPr>
          <w:rFonts w:hint="eastAsia" w:ascii="仿宋" w:hAnsi="仿宋" w:eastAsia="仿宋"/>
          <w:b/>
          <w:bCs/>
          <w:sz w:val="28"/>
          <w:szCs w:val="28"/>
          <w:u w:val="single"/>
          <w:lang w:eastAsia="zh-CN"/>
        </w:rPr>
        <w:t>舍得酒欧洲新品发布会策划执行及新媒体传播项目</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rPr>
      </w:pPr>
      <w:r>
        <w:rPr>
          <w:rFonts w:hint="eastAsia" w:ascii="仿宋" w:hAnsi="仿宋" w:eastAsia="仿宋"/>
          <w:b/>
          <w:sz w:val="28"/>
          <w:szCs w:val="28"/>
        </w:rPr>
        <w:t>一、项目概况</w:t>
      </w:r>
    </w:p>
    <w:p>
      <w:pPr>
        <w:adjustRightInd w:val="0"/>
        <w:snapToGrid w:val="0"/>
        <w:spacing w:line="360" w:lineRule="auto"/>
        <w:rPr>
          <w:rFonts w:hint="default" w:ascii="仿宋" w:hAnsi="仿宋" w:eastAsia="仿宋"/>
          <w:bCs/>
          <w:sz w:val="28"/>
          <w:szCs w:val="28"/>
          <w:lang w:val="en-US"/>
        </w:rPr>
      </w:pPr>
      <w:r>
        <w:rPr>
          <w:rFonts w:hint="eastAsia" w:ascii="仿宋" w:hAnsi="仿宋" w:eastAsia="仿宋"/>
          <w:bCs/>
          <w:sz w:val="28"/>
          <w:szCs w:val="28"/>
        </w:rPr>
        <w:t>1.1项目名称：</w:t>
      </w:r>
      <w:r>
        <w:rPr>
          <w:rFonts w:hint="default" w:ascii="仿宋" w:hAnsi="仿宋" w:eastAsia="仿宋"/>
          <w:bCs/>
          <w:sz w:val="28"/>
          <w:szCs w:val="28"/>
          <w:lang w:val="en-US"/>
        </w:rPr>
        <w:t>舍得酒欧洲新品发布会策划执行及新媒体传播项目</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1.2项目背景：</w:t>
      </w:r>
    </w:p>
    <w:p>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为进一步助力海外业务发展，同时以国际化大事件提升国内品牌及市场影响力，公司将推出首款国际化定制重磅新品。产品计划于2024年9月上市，并举办海外发布会</w:t>
      </w:r>
      <w:r>
        <w:rPr>
          <w:rFonts w:hint="eastAsia" w:ascii="仿宋" w:hAnsi="仿宋" w:eastAsia="仿宋"/>
          <w:bCs/>
          <w:sz w:val="28"/>
          <w:szCs w:val="28"/>
          <w:lang w:eastAsia="zh-CN"/>
        </w:rPr>
        <w:t>。</w:t>
      </w:r>
      <w:r>
        <w:rPr>
          <w:rFonts w:hint="eastAsia" w:ascii="仿宋" w:hAnsi="仿宋" w:eastAsia="仿宋"/>
          <w:bCs/>
          <w:sz w:val="28"/>
          <w:szCs w:val="28"/>
        </w:rPr>
        <w:t>新品上市期间正值国内白酒营销旺季，由此，计划开展海内外整合上市</w:t>
      </w:r>
      <w:r>
        <w:rPr>
          <w:rFonts w:hint="eastAsia" w:ascii="仿宋" w:hAnsi="仿宋" w:eastAsia="仿宋"/>
          <w:bCs/>
          <w:sz w:val="28"/>
          <w:szCs w:val="28"/>
          <w:lang w:val="en-US" w:eastAsia="zh-CN"/>
        </w:rPr>
        <w:t>发布会</w:t>
      </w:r>
      <w:r>
        <w:rPr>
          <w:rFonts w:hint="eastAsia" w:ascii="仿宋" w:hAnsi="仿宋" w:eastAsia="仿宋"/>
          <w:bCs/>
          <w:sz w:val="28"/>
          <w:szCs w:val="28"/>
        </w:rPr>
        <w:t>&amp;</w:t>
      </w:r>
      <w:r>
        <w:rPr>
          <w:rFonts w:hint="eastAsia" w:ascii="仿宋" w:hAnsi="仿宋" w:eastAsia="仿宋"/>
          <w:bCs/>
          <w:sz w:val="28"/>
          <w:szCs w:val="28"/>
          <w:lang w:val="en-US" w:eastAsia="zh-CN"/>
        </w:rPr>
        <w:t>新媒体</w:t>
      </w:r>
      <w:r>
        <w:rPr>
          <w:rFonts w:hint="eastAsia" w:ascii="仿宋" w:hAnsi="仿宋" w:eastAsia="仿宋"/>
          <w:bCs/>
          <w:sz w:val="28"/>
          <w:szCs w:val="28"/>
        </w:rPr>
        <w:t>传播活动。</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1.3项目主要服务内容：</w:t>
      </w:r>
    </w:p>
    <w:p>
      <w:pPr>
        <w:pStyle w:val="22"/>
        <w:numPr>
          <w:ilvl w:val="0"/>
          <w:numId w:val="0"/>
        </w:numPr>
        <w:spacing w:line="360" w:lineRule="auto"/>
        <w:rPr>
          <w:rFonts w:hint="eastAsia" w:ascii="仿宋" w:hAnsi="仿宋" w:eastAsia="仿宋" w:cstheme="minorBidi"/>
          <w:bCs/>
          <w:kern w:val="2"/>
          <w:sz w:val="28"/>
          <w:szCs w:val="28"/>
          <w:lang w:val="en-US" w:eastAsia="zh-CN" w:bidi="ar-SA"/>
        </w:rPr>
      </w:pPr>
      <w:r>
        <w:rPr>
          <w:rFonts w:hint="eastAsia" w:ascii="仿宋" w:hAnsi="仿宋" w:eastAsia="仿宋" w:cstheme="minorBidi"/>
          <w:bCs/>
          <w:kern w:val="2"/>
          <w:sz w:val="28"/>
          <w:szCs w:val="28"/>
          <w:lang w:val="en-US" w:eastAsia="zh-CN" w:bidi="ar-SA"/>
        </w:rPr>
        <w:t>1）欧洲发布会策划执行</w:t>
      </w:r>
    </w:p>
    <w:p>
      <w:pPr>
        <w:spacing w:line="360" w:lineRule="auto"/>
        <w:ind w:firstLine="560" w:firstLineChars="200"/>
        <w:rPr>
          <w:rFonts w:hint="eastAsia" w:ascii="仿宋" w:hAnsi="仿宋" w:eastAsia="仿宋" w:cstheme="minorBidi"/>
          <w:bCs/>
          <w:kern w:val="2"/>
          <w:sz w:val="28"/>
          <w:szCs w:val="28"/>
          <w:lang w:val="en-US" w:eastAsia="zh-CN" w:bidi="ar-SA"/>
        </w:rPr>
      </w:pPr>
      <w:r>
        <w:rPr>
          <w:rFonts w:hint="eastAsia" w:ascii="仿宋" w:hAnsi="仿宋" w:eastAsia="仿宋" w:cstheme="minorBidi"/>
          <w:bCs/>
          <w:kern w:val="2"/>
          <w:sz w:val="28"/>
          <w:szCs w:val="28"/>
          <w:lang w:val="en-US" w:eastAsia="zh-CN" w:bidi="ar-SA"/>
        </w:rPr>
        <w:t>围绕幸福、舍得、智慧关键词，策划与执行一场高规格新品发布会。发布会应包含名人/机构邀请、文化交流、新品发布、宴会品鉴关键环节。</w:t>
      </w:r>
    </w:p>
    <w:p>
      <w:pPr>
        <w:pStyle w:val="22"/>
        <w:numPr>
          <w:ilvl w:val="0"/>
          <w:numId w:val="0"/>
        </w:numPr>
        <w:spacing w:line="360" w:lineRule="auto"/>
        <w:rPr>
          <w:rFonts w:hint="eastAsia" w:ascii="仿宋" w:hAnsi="仿宋" w:eastAsia="仿宋" w:cstheme="minorBidi"/>
          <w:bCs/>
          <w:kern w:val="2"/>
          <w:sz w:val="28"/>
          <w:szCs w:val="28"/>
          <w:lang w:val="en-US" w:eastAsia="zh-CN" w:bidi="ar-SA"/>
        </w:rPr>
      </w:pPr>
      <w:r>
        <w:rPr>
          <w:rFonts w:hint="eastAsia" w:ascii="仿宋" w:hAnsi="仿宋" w:eastAsia="仿宋" w:cstheme="minorBidi"/>
          <w:bCs/>
          <w:kern w:val="2"/>
          <w:sz w:val="28"/>
          <w:szCs w:val="28"/>
          <w:lang w:val="en-US" w:eastAsia="zh-CN" w:bidi="ar-SA"/>
        </w:rPr>
        <w:t>2）发布活动海外宣发</w:t>
      </w:r>
    </w:p>
    <w:p>
      <w:pPr>
        <w:spacing w:line="360" w:lineRule="auto"/>
        <w:ind w:firstLine="560" w:firstLineChars="200"/>
        <w:rPr>
          <w:rFonts w:hint="eastAsia" w:ascii="仿宋" w:hAnsi="仿宋" w:eastAsia="仿宋" w:cstheme="minorBidi"/>
          <w:bCs/>
          <w:kern w:val="2"/>
          <w:sz w:val="28"/>
          <w:szCs w:val="28"/>
          <w:lang w:val="en-US" w:eastAsia="zh-CN" w:bidi="ar-SA"/>
        </w:rPr>
      </w:pPr>
      <w:r>
        <w:rPr>
          <w:rFonts w:hint="eastAsia" w:ascii="仿宋" w:hAnsi="仿宋" w:eastAsia="仿宋" w:cstheme="minorBidi"/>
          <w:bCs/>
          <w:kern w:val="2"/>
          <w:sz w:val="28"/>
          <w:szCs w:val="28"/>
          <w:lang w:val="en-US" w:eastAsia="zh-CN" w:bidi="ar-SA"/>
        </w:rPr>
        <w:t>围绕发布会节点，在海外多国地标匹配、发布宣传物料；在全球多国核心市场进行线上宣传报道，如权威媒体及主流社交媒体平台达人。</w:t>
      </w:r>
    </w:p>
    <w:p>
      <w:pPr>
        <w:pStyle w:val="22"/>
        <w:numPr>
          <w:ilvl w:val="0"/>
          <w:numId w:val="0"/>
        </w:numPr>
        <w:spacing w:line="360" w:lineRule="auto"/>
        <w:rPr>
          <w:rFonts w:hint="eastAsia" w:ascii="仿宋" w:hAnsi="仿宋" w:eastAsia="仿宋" w:cstheme="minorBidi"/>
          <w:bCs/>
          <w:kern w:val="2"/>
          <w:sz w:val="28"/>
          <w:szCs w:val="28"/>
          <w:lang w:val="en-US" w:eastAsia="zh-CN" w:bidi="ar-SA"/>
        </w:rPr>
      </w:pPr>
      <w:r>
        <w:rPr>
          <w:rFonts w:hint="eastAsia" w:ascii="仿宋" w:hAnsi="仿宋" w:eastAsia="仿宋" w:cstheme="minorBidi"/>
          <w:bCs/>
          <w:kern w:val="2"/>
          <w:sz w:val="28"/>
          <w:szCs w:val="28"/>
          <w:lang w:val="en-US" w:eastAsia="zh-CN" w:bidi="ar-SA"/>
        </w:rPr>
        <w:t>3）发布活动国内宣发</w:t>
      </w:r>
    </w:p>
    <w:p>
      <w:pPr>
        <w:spacing w:line="360" w:lineRule="auto"/>
        <w:ind w:firstLine="560" w:firstLineChars="200"/>
        <w:rPr>
          <w:rFonts w:hint="default" w:ascii="仿宋" w:hAnsi="仿宋" w:eastAsia="仿宋" w:cstheme="minorBidi"/>
          <w:bCs/>
          <w:kern w:val="2"/>
          <w:sz w:val="28"/>
          <w:szCs w:val="28"/>
          <w:lang w:val="en-US" w:eastAsia="zh-CN" w:bidi="ar-SA"/>
        </w:rPr>
      </w:pPr>
      <w:r>
        <w:rPr>
          <w:rFonts w:hint="eastAsia" w:ascii="仿宋" w:hAnsi="仿宋" w:eastAsia="仿宋" w:cstheme="minorBidi"/>
          <w:bCs/>
          <w:kern w:val="2"/>
          <w:sz w:val="28"/>
          <w:szCs w:val="28"/>
          <w:lang w:val="en-US" w:eastAsia="zh-CN" w:bidi="ar-SA"/>
        </w:rPr>
        <w:t>围绕舍得新品，结合国内白酒营销节点，制作新媒体创意内容、匹配新媒体达人账号（以短视频平台为主），实现C端品牌文化破圈演绎</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1.4项目实施时间：</w:t>
      </w:r>
      <w:r>
        <w:rPr>
          <w:rFonts w:ascii="仿宋" w:hAnsi="仿宋" w:eastAsia="仿宋"/>
          <w:bCs/>
          <w:sz w:val="28"/>
          <w:szCs w:val="28"/>
        </w:rPr>
        <w:t xml:space="preserve">  </w:t>
      </w:r>
      <w:r>
        <w:rPr>
          <w:rFonts w:hint="eastAsia" w:ascii="仿宋" w:hAnsi="仿宋" w:eastAsia="仿宋"/>
          <w:bCs/>
          <w:sz w:val="28"/>
          <w:szCs w:val="28"/>
          <w:lang w:val="en-US" w:eastAsia="zh-CN"/>
        </w:rPr>
        <w:t>预计2024年9月上旬</w:t>
      </w:r>
      <w:r>
        <w:rPr>
          <w:rFonts w:ascii="仿宋" w:hAnsi="仿宋" w:eastAsia="仿宋"/>
          <w:bCs/>
          <w:sz w:val="28"/>
          <w:szCs w:val="28"/>
        </w:rPr>
        <w:t xml:space="preserve"> </w:t>
      </w:r>
      <w:bookmarkStart w:id="0" w:name="_Hlk150787032"/>
      <w:r>
        <w:rPr>
          <w:rFonts w:hint="eastAsia" w:ascii="仿宋" w:hAnsi="仿宋" w:eastAsia="仿宋"/>
          <w:bCs/>
          <w:sz w:val="28"/>
          <w:szCs w:val="28"/>
        </w:rPr>
        <w:t>（以实际签约时间为准）</w:t>
      </w:r>
      <w:bookmarkEnd w:id="0"/>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 xml:space="preserve">1.5质量要求：通用、行业专属及互联网信息安全要求应当符合国家、所属行业和项目实施地地方现行强制和推荐执行的法律法规及标准，能够完全满足招标人的业务需要。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1.6验收方式：提供结案报告书面验收。</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 xml:space="preserve">1.7付款方式：根据项目执行情况和招标人验收合格情况付款，投标人申请付款前均应提供等额增值税专用发票。      </w:t>
      </w:r>
    </w:p>
    <w:p>
      <w:pPr>
        <w:spacing w:line="360" w:lineRule="auto"/>
        <w:rPr>
          <w:rFonts w:ascii="仿宋" w:hAnsi="仿宋" w:eastAsia="仿宋"/>
          <w:b/>
          <w:bCs/>
          <w:sz w:val="32"/>
          <w:szCs w:val="32"/>
        </w:rPr>
      </w:pPr>
      <w:r>
        <w:rPr>
          <w:rFonts w:hint="eastAsia" w:ascii="仿宋" w:hAnsi="仿宋" w:eastAsia="仿宋"/>
          <w:b/>
          <w:bCs/>
          <w:sz w:val="32"/>
          <w:szCs w:val="32"/>
        </w:rPr>
        <w:t>二、参与投标的潜在投标人需符合以下条件：</w:t>
      </w:r>
    </w:p>
    <w:p>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pPr>
        <w:tabs>
          <w:tab w:val="left" w:pos="426"/>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本项目不接</w:t>
      </w:r>
      <w:r>
        <w:rPr>
          <w:rFonts w:hint="eastAsia" w:ascii="仿宋" w:hAnsi="仿宋" w:eastAsia="仿宋"/>
          <w:i w:val="0"/>
          <w:iCs w:val="0"/>
          <w:sz w:val="28"/>
          <w:szCs w:val="28"/>
        </w:rPr>
        <w:t>受</w:t>
      </w:r>
      <w:r>
        <w:rPr>
          <w:rFonts w:hint="eastAsia" w:ascii="仿宋" w:hAnsi="仿宋" w:eastAsia="仿宋"/>
          <w:i w:val="0"/>
          <w:iCs w:val="0"/>
          <w:sz w:val="28"/>
          <w:szCs w:val="28"/>
          <w:highlight w:val="none"/>
        </w:rPr>
        <w:t>挂靠、分包、转包、联合体</w:t>
      </w:r>
      <w:r>
        <w:rPr>
          <w:rFonts w:hint="eastAsia" w:ascii="仿宋" w:hAnsi="仿宋" w:eastAsia="仿宋"/>
          <w:i w:val="0"/>
          <w:iCs w:val="0"/>
          <w:sz w:val="28"/>
          <w:szCs w:val="28"/>
        </w:rPr>
        <w:t>单位</w:t>
      </w:r>
      <w:r>
        <w:rPr>
          <w:rFonts w:hint="eastAsia" w:ascii="仿宋" w:hAnsi="仿宋" w:eastAsia="仿宋"/>
          <w:sz w:val="28"/>
          <w:szCs w:val="28"/>
        </w:rPr>
        <w:t>参与投标；法定代表人</w:t>
      </w:r>
      <w:r>
        <w:rPr>
          <w:rFonts w:hint="eastAsia" w:ascii="仿宋" w:hAnsi="仿宋" w:eastAsia="仿宋"/>
          <w:sz w:val="28"/>
          <w:szCs w:val="28"/>
          <w:lang w:val="en-US" w:eastAsia="zh-CN"/>
        </w:rPr>
        <w:t>或</w:t>
      </w:r>
      <w:r>
        <w:rPr>
          <w:rFonts w:hint="eastAsia" w:ascii="仿宋" w:hAnsi="仿宋" w:eastAsia="仿宋"/>
          <w:sz w:val="28"/>
          <w:szCs w:val="28"/>
        </w:rPr>
        <w:t>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w:t>
      </w:r>
    </w:p>
    <w:p>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pPr>
        <w:pStyle w:val="12"/>
        <w:shd w:val="clear" w:color="auto" w:fill="FFFFFF"/>
        <w:spacing w:before="0" w:beforeAutospacing="0" w:after="0" w:afterAutospacing="0" w:line="480" w:lineRule="atLeast"/>
        <w:rPr>
          <w:rFonts w:ascii="微软雅黑" w:hAnsi="微软雅黑" w:eastAsia="微软雅黑"/>
          <w:sz w:val="22"/>
          <w:szCs w:val="22"/>
        </w:rPr>
      </w:pPr>
      <w:bookmarkStart w:id="1" w:name="_Hlk114040219"/>
      <w:r>
        <w:rPr>
          <w:rFonts w:hint="eastAsia" w:ascii="仿宋" w:hAnsi="仿宋" w:eastAsia="仿宋"/>
          <w:b/>
          <w:bCs/>
          <w:sz w:val="28"/>
          <w:szCs w:val="28"/>
        </w:rPr>
        <w:t>三、投标保证金</w:t>
      </w:r>
    </w:p>
    <w:p>
      <w:pPr>
        <w:numPr>
          <w:ilvl w:val="255"/>
          <w:numId w:val="0"/>
        </w:numPr>
        <w:spacing w:line="360" w:lineRule="auto"/>
        <w:rPr>
          <w:rFonts w:ascii="仿宋" w:hAnsi="仿宋" w:eastAsia="仿宋"/>
          <w:sz w:val="28"/>
          <w:szCs w:val="28"/>
          <w:highlight w:val="none"/>
        </w:rPr>
      </w:pPr>
      <w:bookmarkStart w:id="2" w:name="_Hlk114040189"/>
      <w:r>
        <w:rPr>
          <w:rFonts w:hint="eastAsia" w:ascii="仿宋" w:hAnsi="仿宋" w:eastAsia="仿宋"/>
          <w:sz w:val="28"/>
          <w:szCs w:val="28"/>
          <w:highlight w:val="none"/>
        </w:rPr>
        <w:t>本项目不涉及投标保证金。</w:t>
      </w:r>
    </w:p>
    <w:p>
      <w:pPr>
        <w:numPr>
          <w:ilvl w:val="255"/>
          <w:numId w:val="0"/>
        </w:numPr>
        <w:spacing w:line="360" w:lineRule="auto"/>
        <w:ind w:firstLine="402" w:firstLineChars="200"/>
        <w:rPr>
          <w:rFonts w:ascii="仿宋" w:hAnsi="仿宋" w:eastAsia="仿宋"/>
          <w:b/>
          <w:bCs/>
          <w:sz w:val="20"/>
          <w:szCs w:val="21"/>
        </w:rPr>
      </w:pPr>
    </w:p>
    <w:bookmarkEnd w:id="2"/>
    <w:p>
      <w:pPr>
        <w:adjustRightInd w:val="0"/>
        <w:snapToGrid w:val="0"/>
        <w:spacing w:line="360" w:lineRule="auto"/>
        <w:rPr>
          <w:rFonts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pPr>
        <w:adjustRightInd w:val="0"/>
        <w:snapToGrid w:val="0"/>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 xml:space="preserve">.1 </w:t>
      </w:r>
      <w:r>
        <w:rPr>
          <w:rFonts w:hint="eastAsia" w:ascii="仿宋" w:hAnsi="仿宋" w:eastAsia="仿宋"/>
          <w:sz w:val="28"/>
          <w:szCs w:val="28"/>
        </w:rPr>
        <w:t>联系人及方式</w:t>
      </w:r>
    </w:p>
    <w:p>
      <w:pPr>
        <w:adjustRightInd w:val="0"/>
        <w:snapToGrid w:val="0"/>
        <w:spacing w:line="360" w:lineRule="auto"/>
        <w:rPr>
          <w:rFonts w:ascii="仿宋" w:hAnsi="仿宋" w:eastAsia="仿宋"/>
          <w:color w:val="auto"/>
          <w:sz w:val="28"/>
          <w:szCs w:val="28"/>
        </w:rPr>
      </w:pPr>
      <w:r>
        <w:rPr>
          <w:rFonts w:hint="eastAsia" w:ascii="仿宋" w:hAnsi="仿宋" w:eastAsia="仿宋"/>
          <w:color w:val="auto"/>
          <w:sz w:val="28"/>
          <w:szCs w:val="28"/>
        </w:rPr>
        <w:t>①投标联系人：</w:t>
      </w:r>
      <w:r>
        <w:rPr>
          <w:rFonts w:hint="eastAsia" w:ascii="仿宋" w:hAnsi="仿宋" w:eastAsia="仿宋"/>
          <w:color w:val="auto"/>
          <w:sz w:val="28"/>
          <w:szCs w:val="28"/>
          <w:lang w:val="en-US" w:eastAsia="zh-CN"/>
        </w:rPr>
        <w:t>廖先生</w:t>
      </w:r>
      <w:r>
        <w:rPr>
          <w:rFonts w:hint="eastAsia" w:ascii="仿宋" w:hAnsi="仿宋" w:eastAsia="仿宋"/>
          <w:color w:val="auto"/>
          <w:sz w:val="28"/>
          <w:szCs w:val="28"/>
        </w:rPr>
        <w:t xml:space="preserve">  电话 </w:t>
      </w:r>
      <w:r>
        <w:rPr>
          <w:rFonts w:hint="eastAsia" w:ascii="仿宋" w:hAnsi="仿宋" w:eastAsia="仿宋"/>
          <w:color w:val="auto"/>
          <w:sz w:val="28"/>
          <w:szCs w:val="28"/>
          <w:lang w:val="en-US" w:eastAsia="zh-CN"/>
        </w:rPr>
        <w:t>17381541946</w:t>
      </w:r>
      <w:r>
        <w:rPr>
          <w:rFonts w:ascii="仿宋" w:hAnsi="仿宋" w:eastAsia="仿宋"/>
          <w:color w:val="auto"/>
          <w:sz w:val="28"/>
          <w:szCs w:val="28"/>
        </w:rPr>
        <w:t xml:space="preserve"> </w:t>
      </w:r>
      <w:r>
        <w:rPr>
          <w:rFonts w:hint="eastAsia" w:ascii="仿宋" w:hAnsi="仿宋" w:eastAsia="仿宋"/>
          <w:color w:val="auto"/>
          <w:sz w:val="28"/>
          <w:szCs w:val="28"/>
        </w:rPr>
        <w:t xml:space="preserve"> 09:30-17:30</w:t>
      </w:r>
    </w:p>
    <w:p>
      <w:pPr>
        <w:spacing w:line="360" w:lineRule="auto"/>
        <w:rPr>
          <w:rFonts w:ascii="仿宋" w:hAnsi="仿宋" w:eastAsia="仿宋"/>
          <w:color w:val="auto"/>
          <w:sz w:val="28"/>
          <w:szCs w:val="28"/>
        </w:rPr>
      </w:pPr>
      <w:r>
        <w:rPr>
          <w:rFonts w:hint="eastAsia" w:ascii="仿宋" w:hAnsi="仿宋" w:eastAsia="仿宋"/>
          <w:color w:val="auto"/>
          <w:sz w:val="28"/>
          <w:szCs w:val="28"/>
        </w:rPr>
        <w:t>②报名截止时间:</w:t>
      </w:r>
      <w:r>
        <w:rPr>
          <w:rFonts w:hint="eastAsia"/>
          <w:color w:val="auto"/>
          <w:sz w:val="20"/>
          <w:szCs w:val="21"/>
        </w:rPr>
        <w:t xml:space="preserve"> </w:t>
      </w:r>
      <w:r>
        <w:rPr>
          <w:rFonts w:hint="eastAsia" w:ascii="仿宋" w:hAnsi="仿宋" w:eastAsia="仿宋"/>
          <w:color w:val="auto"/>
          <w:sz w:val="28"/>
          <w:szCs w:val="28"/>
          <w:lang w:val="en-US" w:eastAsia="zh-CN"/>
        </w:rPr>
        <w:t>2024</w:t>
      </w:r>
      <w:r>
        <w:rPr>
          <w:rFonts w:hint="eastAsia" w:ascii="仿宋" w:hAnsi="仿宋" w:eastAsia="仿宋"/>
          <w:color w:val="auto"/>
          <w:sz w:val="28"/>
          <w:szCs w:val="28"/>
        </w:rPr>
        <w:t>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2</w:t>
      </w:r>
      <w:r>
        <w:rPr>
          <w:rFonts w:hint="eastAsia" w:ascii="仿宋" w:hAnsi="仿宋" w:eastAsia="仿宋"/>
          <w:color w:val="auto"/>
          <w:sz w:val="28"/>
          <w:szCs w:val="28"/>
        </w:rPr>
        <w:t>日</w:t>
      </w:r>
      <w:r>
        <w:rPr>
          <w:rFonts w:hint="eastAsia" w:ascii="仿宋" w:hAnsi="仿宋" w:eastAsia="仿宋"/>
          <w:color w:val="auto"/>
          <w:sz w:val="28"/>
          <w:szCs w:val="28"/>
          <w:lang w:val="en-US" w:eastAsia="zh-CN"/>
        </w:rPr>
        <w:t>16</w:t>
      </w:r>
      <w:r>
        <w:rPr>
          <w:rFonts w:hint="eastAsia" w:ascii="仿宋" w:hAnsi="仿宋" w:eastAsia="仿宋"/>
          <w:color w:val="auto"/>
          <w:sz w:val="28"/>
          <w:szCs w:val="28"/>
        </w:rPr>
        <w:t>:</w:t>
      </w:r>
      <w:r>
        <w:rPr>
          <w:rFonts w:hint="eastAsia" w:ascii="仿宋" w:hAnsi="仿宋" w:eastAsia="仿宋"/>
          <w:color w:val="auto"/>
          <w:sz w:val="28"/>
          <w:szCs w:val="28"/>
          <w:lang w:val="en-US" w:eastAsia="zh-CN"/>
        </w:rPr>
        <w:t>00</w:t>
      </w:r>
      <w:r>
        <w:rPr>
          <w:rFonts w:hint="eastAsia" w:ascii="仿宋" w:hAnsi="仿宋" w:eastAsia="仿宋"/>
          <w:color w:val="auto"/>
          <w:sz w:val="28"/>
          <w:szCs w:val="28"/>
        </w:rPr>
        <w:t>前</w:t>
      </w:r>
    </w:p>
    <w:p>
      <w:pPr>
        <w:spacing w:line="360" w:lineRule="auto"/>
        <w:jc w:val="left"/>
        <w:rPr>
          <w:rFonts w:ascii="仿宋" w:hAnsi="仿宋" w:eastAsia="仿宋"/>
          <w:color w:val="auto"/>
          <w:sz w:val="28"/>
          <w:szCs w:val="28"/>
        </w:rPr>
      </w:pPr>
      <w:r>
        <w:rPr>
          <w:rFonts w:hint="eastAsia" w:ascii="仿宋" w:hAnsi="仿宋" w:eastAsia="仿宋"/>
          <w:color w:val="auto"/>
          <w:sz w:val="28"/>
          <w:szCs w:val="28"/>
        </w:rPr>
        <w:t xml:space="preserve">③报名文件提交方式：登陆舍得酒业招采数字化平台(网址：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），点击页面顶部“一链网”参与项目报名,</w:t>
      </w:r>
      <w:r>
        <w:rPr>
          <w:rFonts w:hint="eastAsia"/>
          <w:color w:val="auto"/>
          <w:sz w:val="20"/>
          <w:szCs w:val="21"/>
        </w:rPr>
        <w:t xml:space="preserve"> </w:t>
      </w:r>
      <w:r>
        <w:rPr>
          <w:rFonts w:hint="eastAsia" w:ascii="仿宋" w:hAnsi="仿宋" w:eastAsia="仿宋"/>
          <w:color w:val="auto"/>
          <w:sz w:val="28"/>
          <w:szCs w:val="28"/>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rPr>
      </w:pPr>
      <w:r>
        <w:rPr>
          <w:rFonts w:ascii="仿宋" w:hAnsi="仿宋" w:eastAsia="仿宋"/>
          <w:color w:val="auto"/>
          <w:sz w:val="28"/>
          <w:szCs w:val="28"/>
        </w:rPr>
        <w:t>未按照上述要求进行报名的均视为报名无效</w:t>
      </w:r>
      <w:r>
        <w:rPr>
          <w:rFonts w:hint="eastAsia" w:ascii="仿宋" w:hAnsi="仿宋" w:eastAsia="仿宋"/>
          <w:color w:val="auto"/>
          <w:sz w:val="28"/>
          <w:szCs w:val="28"/>
        </w:rPr>
        <w:t>，报名截止后</w:t>
      </w:r>
      <w:r>
        <w:rPr>
          <w:rFonts w:ascii="仿宋" w:hAnsi="仿宋" w:eastAsia="仿宋"/>
          <w:color w:val="auto"/>
          <w:sz w:val="28"/>
          <w:szCs w:val="28"/>
        </w:rPr>
        <w:t>通过资格预审</w:t>
      </w:r>
      <w:r>
        <w:rPr>
          <w:rFonts w:hint="eastAsia" w:ascii="仿宋" w:hAnsi="仿宋" w:eastAsia="仿宋"/>
          <w:color w:val="auto"/>
          <w:sz w:val="28"/>
          <w:szCs w:val="28"/>
        </w:rPr>
        <w:t>的</w:t>
      </w:r>
      <w:r>
        <w:rPr>
          <w:rFonts w:ascii="仿宋" w:hAnsi="仿宋" w:eastAsia="仿宋"/>
          <w:color w:val="auto"/>
          <w:sz w:val="28"/>
          <w:szCs w:val="28"/>
        </w:rPr>
        <w:t>投标人可</w:t>
      </w:r>
      <w:r>
        <w:rPr>
          <w:rFonts w:hint="eastAsia" w:ascii="仿宋" w:hAnsi="仿宋" w:eastAsia="仿宋"/>
          <w:color w:val="auto"/>
          <w:sz w:val="28"/>
          <w:szCs w:val="28"/>
        </w:rPr>
        <w:t>获取招标文件并</w:t>
      </w:r>
      <w:r>
        <w:rPr>
          <w:rFonts w:ascii="仿宋" w:hAnsi="仿宋" w:eastAsia="仿宋"/>
          <w:color w:val="auto"/>
          <w:sz w:val="28"/>
          <w:szCs w:val="28"/>
        </w:rPr>
        <w:t>参加投标。</w:t>
      </w:r>
    </w:p>
    <w:p>
      <w:pPr>
        <w:rPr>
          <w:rFonts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.2</w:t>
      </w:r>
      <w:r>
        <w:rPr>
          <w:rFonts w:hint="eastAsia" w:ascii="仿宋" w:hAnsi="仿宋" w:eastAsia="仿宋"/>
          <w:color w:val="auto"/>
          <w:sz w:val="28"/>
          <w:szCs w:val="28"/>
        </w:rPr>
        <w:t>招标文件的获取方式</w:t>
      </w:r>
    </w:p>
    <w:p>
      <w:pPr>
        <w:spacing w:line="360" w:lineRule="auto"/>
        <w:ind w:firstLine="560" w:firstLineChars="200"/>
        <w:jc w:val="left"/>
        <w:rPr>
          <w:rFonts w:ascii="仿宋" w:hAnsi="仿宋" w:eastAsia="仿宋"/>
          <w:color w:val="auto"/>
          <w:sz w:val="28"/>
          <w:szCs w:val="28"/>
        </w:rPr>
      </w:pPr>
      <w:r>
        <w:rPr>
          <w:rFonts w:hint="eastAsia" w:ascii="仿宋" w:hAnsi="仿宋" w:eastAsia="仿宋"/>
          <w:color w:val="auto"/>
          <w:sz w:val="28"/>
          <w:szCs w:val="28"/>
        </w:rPr>
        <w:t xml:space="preserve">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），点击页面顶部的“一链网”获取招标文件。</w:t>
      </w:r>
    </w:p>
    <w:p>
      <w:pPr>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.3</w:t>
      </w:r>
      <w:r>
        <w:rPr>
          <w:rFonts w:hint="eastAsia" w:ascii="仿宋" w:hAnsi="仿宋" w:eastAsia="仿宋"/>
          <w:sz w:val="28"/>
          <w:szCs w:val="28"/>
        </w:rPr>
        <w:t>时间安排：</w:t>
      </w:r>
    </w:p>
    <w:p>
      <w:pPr>
        <w:spacing w:line="360" w:lineRule="auto"/>
        <w:rPr>
          <w:rFonts w:ascii="仿宋" w:hAnsi="仿宋" w:eastAsia="仿宋"/>
          <w:color w:val="auto"/>
          <w:sz w:val="28"/>
          <w:szCs w:val="28"/>
        </w:rPr>
      </w:pPr>
      <w:r>
        <w:rPr>
          <w:rFonts w:ascii="仿宋" w:hAnsi="仿宋" w:eastAsia="仿宋"/>
          <w:color w:val="auto"/>
          <w:sz w:val="28"/>
          <w:szCs w:val="28"/>
        </w:rPr>
        <w:t>本项目</w:t>
      </w:r>
      <w:r>
        <w:rPr>
          <w:rFonts w:hint="eastAsia" w:ascii="仿宋" w:hAnsi="仿宋" w:eastAsia="仿宋"/>
          <w:color w:val="auto"/>
          <w:sz w:val="28"/>
          <w:szCs w:val="28"/>
        </w:rPr>
        <w:t>预计发标</w:t>
      </w:r>
      <w:r>
        <w:rPr>
          <w:rFonts w:ascii="仿宋" w:hAnsi="仿宋" w:eastAsia="仿宋"/>
          <w:color w:val="auto"/>
          <w:sz w:val="28"/>
          <w:szCs w:val="28"/>
        </w:rPr>
        <w:t>时间：</w:t>
      </w:r>
      <w:r>
        <w:rPr>
          <w:rFonts w:hint="eastAsia" w:ascii="仿宋" w:hAnsi="仿宋" w:eastAsia="仿宋"/>
          <w:color w:val="auto"/>
          <w:sz w:val="28"/>
          <w:szCs w:val="28"/>
          <w:lang w:val="en-US" w:eastAsia="zh-CN"/>
        </w:rPr>
        <w:t>2024</w:t>
      </w:r>
      <w:r>
        <w:rPr>
          <w:rFonts w:hint="eastAsia" w:ascii="仿宋" w:hAnsi="仿宋" w:eastAsia="仿宋"/>
          <w:color w:val="auto"/>
          <w:sz w:val="28"/>
          <w:szCs w:val="28"/>
        </w:rPr>
        <w:t>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日</w:t>
      </w:r>
    </w:p>
    <w:p>
      <w:pPr>
        <w:spacing w:line="360" w:lineRule="auto"/>
        <w:rPr>
          <w:rFonts w:ascii="仿宋" w:hAnsi="仿宋" w:eastAsia="仿宋"/>
          <w:color w:val="auto"/>
          <w:sz w:val="28"/>
          <w:szCs w:val="28"/>
        </w:rPr>
      </w:pPr>
      <w:r>
        <w:rPr>
          <w:rFonts w:hint="eastAsia" w:ascii="仿宋" w:hAnsi="仿宋" w:eastAsia="仿宋"/>
          <w:color w:val="auto"/>
          <w:sz w:val="28"/>
          <w:szCs w:val="28"/>
        </w:rPr>
        <w:t>本项目</w:t>
      </w:r>
      <w:r>
        <w:rPr>
          <w:rFonts w:ascii="仿宋" w:hAnsi="仿宋" w:eastAsia="仿宋"/>
          <w:color w:val="auto"/>
          <w:sz w:val="28"/>
          <w:szCs w:val="28"/>
        </w:rPr>
        <w:t>预计</w:t>
      </w:r>
      <w:r>
        <w:rPr>
          <w:rFonts w:hint="eastAsia" w:ascii="仿宋" w:hAnsi="仿宋" w:eastAsia="仿宋"/>
          <w:color w:val="auto"/>
          <w:sz w:val="28"/>
          <w:szCs w:val="28"/>
        </w:rPr>
        <w:t>回标</w:t>
      </w:r>
      <w:r>
        <w:rPr>
          <w:rFonts w:ascii="仿宋" w:hAnsi="仿宋" w:eastAsia="仿宋"/>
          <w:color w:val="auto"/>
          <w:sz w:val="28"/>
          <w:szCs w:val="28"/>
        </w:rPr>
        <w:t>时间：</w:t>
      </w:r>
      <w:r>
        <w:rPr>
          <w:rFonts w:hint="eastAsia" w:ascii="仿宋" w:hAnsi="仿宋" w:eastAsia="仿宋"/>
          <w:color w:val="auto"/>
          <w:sz w:val="28"/>
          <w:szCs w:val="28"/>
          <w:lang w:val="en-US" w:eastAsia="zh-CN"/>
        </w:rPr>
        <w:t>2024</w:t>
      </w:r>
      <w:r>
        <w:rPr>
          <w:rFonts w:hint="eastAsia" w:ascii="仿宋" w:hAnsi="仿宋" w:eastAsia="仿宋"/>
          <w:color w:val="auto"/>
          <w:sz w:val="28"/>
          <w:szCs w:val="28"/>
        </w:rPr>
        <w:t>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17</w:t>
      </w:r>
      <w:r>
        <w:rPr>
          <w:rFonts w:hint="eastAsia" w:ascii="仿宋" w:hAnsi="仿宋" w:eastAsia="仿宋"/>
          <w:color w:val="auto"/>
          <w:sz w:val="28"/>
          <w:szCs w:val="28"/>
        </w:rPr>
        <w:t>日</w:t>
      </w:r>
    </w:p>
    <w:p>
      <w:pPr>
        <w:spacing w:line="360" w:lineRule="auto"/>
        <w:rPr>
          <w:rFonts w:ascii="仿宋" w:hAnsi="仿宋" w:eastAsia="仿宋"/>
          <w:color w:val="auto"/>
          <w:sz w:val="28"/>
          <w:szCs w:val="28"/>
        </w:rPr>
      </w:pPr>
      <w:r>
        <w:rPr>
          <w:rFonts w:hint="eastAsia" w:ascii="仿宋" w:hAnsi="仿宋" w:eastAsia="仿宋"/>
          <w:color w:val="auto"/>
          <w:sz w:val="28"/>
          <w:szCs w:val="28"/>
        </w:rPr>
        <w:t>本项目预计开标时间：</w:t>
      </w:r>
      <w:r>
        <w:rPr>
          <w:rFonts w:hint="eastAsia" w:ascii="仿宋" w:hAnsi="仿宋" w:eastAsia="仿宋"/>
          <w:color w:val="auto"/>
          <w:sz w:val="28"/>
          <w:szCs w:val="28"/>
          <w:lang w:val="en-US" w:eastAsia="zh-CN"/>
        </w:rPr>
        <w:t>2024</w:t>
      </w:r>
      <w:r>
        <w:rPr>
          <w:rFonts w:hint="eastAsia" w:ascii="仿宋" w:hAnsi="仿宋" w:eastAsia="仿宋"/>
          <w:color w:val="auto"/>
          <w:sz w:val="28"/>
          <w:szCs w:val="28"/>
        </w:rPr>
        <w:t>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18</w:t>
      </w:r>
      <w:r>
        <w:rPr>
          <w:rFonts w:hint="eastAsia" w:ascii="仿宋" w:hAnsi="仿宋" w:eastAsia="仿宋"/>
          <w:color w:val="auto"/>
          <w:sz w:val="28"/>
          <w:szCs w:val="28"/>
        </w:rPr>
        <w:t>日</w:t>
      </w:r>
    </w:p>
    <w:p>
      <w:pPr>
        <w:spacing w:line="360" w:lineRule="auto"/>
        <w:rPr>
          <w:rFonts w:ascii="仿宋" w:hAnsi="仿宋" w:eastAsia="仿宋"/>
          <w:sz w:val="28"/>
          <w:szCs w:val="28"/>
        </w:rPr>
      </w:pPr>
      <w:r>
        <w:rPr>
          <w:rFonts w:ascii="仿宋" w:hAnsi="仿宋" w:eastAsia="仿宋"/>
          <w:sz w:val="28"/>
          <w:szCs w:val="28"/>
        </w:rPr>
        <w:t>以上时间会根据项目的进度有所变动</w:t>
      </w:r>
      <w:r>
        <w:rPr>
          <w:rFonts w:hint="eastAsia" w:ascii="仿宋" w:hAnsi="仿宋" w:eastAsia="仿宋"/>
          <w:sz w:val="28"/>
          <w:szCs w:val="28"/>
        </w:rPr>
        <w:t>，以实际为准。</w:t>
      </w:r>
    </w:p>
    <w:p>
      <w:pPr>
        <w:pStyle w:val="5"/>
      </w:pPr>
    </w:p>
    <w:bookmarkEnd w:id="1"/>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附件一：资格预审必要合格条件标准</w:t>
      </w:r>
    </w:p>
    <w:p>
      <w:pPr>
        <w:spacing w:line="360" w:lineRule="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附件二：投标预审资料提交模板（点击文章末尾下载）</w:t>
      </w:r>
    </w:p>
    <w:p>
      <w:pPr>
        <w:spacing w:line="360" w:lineRule="auto"/>
        <w:jc w:val="right"/>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復豫酒業（香港）有限公司</w:t>
      </w:r>
    </w:p>
    <w:p>
      <w:pPr>
        <w:spacing w:line="360" w:lineRule="auto"/>
        <w:jc w:val="right"/>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2024</w:t>
      </w:r>
      <w:r>
        <w:rPr>
          <w:rFonts w:hint="eastAsia" w:ascii="仿宋" w:hAnsi="仿宋" w:eastAsia="仿宋" w:cs="Times New Roman"/>
          <w:color w:val="auto"/>
          <w:sz w:val="28"/>
          <w:szCs w:val="28"/>
        </w:rPr>
        <w:t>年</w:t>
      </w:r>
      <w:r>
        <w:rPr>
          <w:rFonts w:hint="eastAsia" w:ascii="仿宋" w:hAnsi="仿宋" w:eastAsia="仿宋" w:cs="Times New Roman"/>
          <w:color w:val="auto"/>
          <w:sz w:val="28"/>
          <w:szCs w:val="28"/>
          <w:lang w:val="en-US" w:eastAsia="zh-CN"/>
        </w:rPr>
        <w:t>6</w:t>
      </w:r>
      <w:r>
        <w:rPr>
          <w:rFonts w:hint="eastAsia" w:ascii="仿宋" w:hAnsi="仿宋" w:eastAsia="仿宋" w:cs="Times New Roman"/>
          <w:color w:val="auto"/>
          <w:sz w:val="28"/>
          <w:szCs w:val="28"/>
        </w:rPr>
        <w:t>月</w:t>
      </w:r>
      <w:r>
        <w:rPr>
          <w:rFonts w:hint="eastAsia" w:ascii="仿宋" w:hAnsi="仿宋" w:eastAsia="仿宋" w:cs="Times New Roman"/>
          <w:color w:val="auto"/>
          <w:sz w:val="28"/>
          <w:szCs w:val="28"/>
          <w:lang w:val="en-US" w:eastAsia="zh-CN"/>
        </w:rPr>
        <w:t>24</w:t>
      </w:r>
      <w:r>
        <w:rPr>
          <w:rFonts w:hint="eastAsia" w:ascii="仿宋" w:hAnsi="仿宋" w:eastAsia="仿宋" w:cs="Times New Roman"/>
          <w:color w:val="auto"/>
          <w:sz w:val="28"/>
          <w:szCs w:val="28"/>
        </w:rPr>
        <w:t>日</w:t>
      </w:r>
    </w:p>
    <w:p>
      <w:pPr>
        <w:widowControl/>
        <w:spacing w:line="360" w:lineRule="auto"/>
        <w:jc w:val="left"/>
        <w:rPr>
          <w:rFonts w:ascii="仿宋" w:hAnsi="仿宋" w:eastAsia="仿宋"/>
          <w:b/>
          <w:sz w:val="32"/>
          <w:szCs w:val="32"/>
        </w:rPr>
      </w:pPr>
      <w:bookmarkStart w:id="4" w:name="_GoBack"/>
      <w:bookmarkEnd w:id="4"/>
    </w:p>
    <w:p>
      <w:pPr>
        <w:widowControl/>
        <w:spacing w:line="360" w:lineRule="auto"/>
        <w:jc w:val="left"/>
        <w:rPr>
          <w:rFonts w:ascii="仿宋" w:hAnsi="仿宋" w:eastAsia="仿宋"/>
          <w:b/>
          <w:sz w:val="32"/>
          <w:szCs w:val="32"/>
        </w:rPr>
      </w:pPr>
      <w:r>
        <w:rPr>
          <w:rFonts w:hint="eastAsia" w:ascii="仿宋" w:hAnsi="仿宋" w:eastAsia="仿宋"/>
          <w:b/>
          <w:sz w:val="32"/>
          <w:szCs w:val="32"/>
        </w:rPr>
        <w:t>附件一：</w:t>
      </w:r>
      <w:bookmarkStart w:id="3" w:name="_Hlk108623121"/>
      <w:r>
        <w:rPr>
          <w:rFonts w:ascii="仿宋" w:hAnsi="仿宋" w:eastAsia="仿宋"/>
          <w:b/>
          <w:sz w:val="32"/>
          <w:szCs w:val="32"/>
        </w:rPr>
        <w:t>资格预审必要合格条件标准</w:t>
      </w:r>
    </w:p>
    <w:bookmarkEnd w:id="3"/>
    <w:tbl>
      <w:tblPr>
        <w:tblStyle w:val="14"/>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575"/>
        <w:gridCol w:w="8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658" w:type="dxa"/>
            <w:vAlign w:val="center"/>
          </w:tcPr>
          <w:p>
            <w:pPr>
              <w:spacing w:line="360" w:lineRule="auto"/>
              <w:jc w:val="center"/>
              <w:rPr>
                <w:rFonts w:ascii="仿宋" w:hAnsi="仿宋" w:eastAsia="仿宋"/>
                <w:sz w:val="22"/>
                <w:szCs w:val="21"/>
              </w:rPr>
            </w:pPr>
            <w:r>
              <w:rPr>
                <w:rFonts w:ascii="仿宋" w:hAnsi="仿宋" w:eastAsia="仿宋"/>
                <w:sz w:val="22"/>
                <w:szCs w:val="21"/>
              </w:rPr>
              <w:t>序号</w:t>
            </w:r>
          </w:p>
        </w:tc>
        <w:tc>
          <w:tcPr>
            <w:tcW w:w="1575"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内容</w:t>
            </w:r>
          </w:p>
        </w:tc>
        <w:tc>
          <w:tcPr>
            <w:tcW w:w="8130" w:type="dxa"/>
            <w:vAlign w:val="center"/>
          </w:tcPr>
          <w:p>
            <w:pPr>
              <w:spacing w:line="360" w:lineRule="auto"/>
              <w:jc w:val="center"/>
              <w:rPr>
                <w:rFonts w:ascii="仿宋" w:hAnsi="仿宋" w:eastAsia="仿宋"/>
                <w:sz w:val="22"/>
                <w:szCs w:val="21"/>
              </w:rPr>
            </w:pPr>
            <w:r>
              <w:rPr>
                <w:rFonts w:ascii="仿宋" w:hAnsi="仿宋" w:eastAsia="仿宋"/>
                <w:sz w:val="22"/>
                <w:szCs w:val="21"/>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58" w:type="dxa"/>
            <w:vAlign w:val="center"/>
          </w:tcPr>
          <w:p>
            <w:pPr>
              <w:spacing w:line="360" w:lineRule="auto"/>
              <w:jc w:val="center"/>
              <w:rPr>
                <w:rFonts w:ascii="仿宋" w:hAnsi="仿宋" w:eastAsia="仿宋"/>
                <w:sz w:val="22"/>
                <w:szCs w:val="21"/>
              </w:rPr>
            </w:pPr>
            <w:r>
              <w:rPr>
                <w:rFonts w:ascii="仿宋" w:hAnsi="仿宋" w:eastAsia="仿宋"/>
                <w:sz w:val="22"/>
                <w:szCs w:val="21"/>
              </w:rPr>
              <w:t>1</w:t>
            </w:r>
          </w:p>
        </w:tc>
        <w:tc>
          <w:tcPr>
            <w:tcW w:w="1575"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授权委托书</w:t>
            </w:r>
          </w:p>
        </w:tc>
        <w:tc>
          <w:tcPr>
            <w:tcW w:w="8130" w:type="dxa"/>
            <w:vAlign w:val="center"/>
          </w:tcPr>
          <w:p>
            <w:pPr>
              <w:spacing w:line="360" w:lineRule="auto"/>
              <w:rPr>
                <w:rFonts w:ascii="仿宋" w:hAnsi="仿宋" w:eastAsia="仿宋"/>
                <w:sz w:val="22"/>
                <w:szCs w:val="21"/>
              </w:rPr>
            </w:pPr>
            <w:r>
              <w:rPr>
                <w:rFonts w:hint="eastAsia" w:ascii="仿宋" w:hAnsi="仿宋" w:eastAsia="仿宋"/>
                <w:sz w:val="22"/>
                <w:szCs w:val="21"/>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0" w:hRule="atLeast"/>
          <w:jc w:val="center"/>
        </w:trPr>
        <w:tc>
          <w:tcPr>
            <w:tcW w:w="658" w:type="dxa"/>
            <w:vAlign w:val="center"/>
          </w:tcPr>
          <w:p>
            <w:pPr>
              <w:spacing w:line="360" w:lineRule="auto"/>
              <w:jc w:val="center"/>
              <w:rPr>
                <w:rFonts w:ascii="仿宋" w:hAnsi="仿宋" w:eastAsia="仿宋"/>
                <w:sz w:val="22"/>
                <w:szCs w:val="21"/>
              </w:rPr>
            </w:pPr>
            <w:r>
              <w:rPr>
                <w:rFonts w:ascii="仿宋" w:hAnsi="仿宋" w:eastAsia="仿宋"/>
                <w:sz w:val="22"/>
                <w:szCs w:val="21"/>
              </w:rPr>
              <w:t>2</w:t>
            </w:r>
          </w:p>
        </w:tc>
        <w:tc>
          <w:tcPr>
            <w:tcW w:w="1575"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资质要求</w:t>
            </w:r>
          </w:p>
        </w:tc>
        <w:tc>
          <w:tcPr>
            <w:tcW w:w="8130" w:type="dxa"/>
            <w:vAlign w:val="center"/>
          </w:tcPr>
          <w:p>
            <w:pPr>
              <w:pStyle w:val="2"/>
              <w:spacing w:line="360" w:lineRule="auto"/>
              <w:rPr>
                <w:rFonts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万元，实缴资金不少于</w:t>
            </w:r>
            <w:r>
              <w:rPr>
                <w:rFonts w:hint="eastAsia" w:ascii="仿宋" w:hAnsi="仿宋" w:eastAsia="仿宋"/>
                <w:b w:val="0"/>
                <w:bCs w:val="0"/>
                <w:sz w:val="22"/>
                <w:szCs w:val="22"/>
                <w:lang w:val="en-US" w:eastAsia="zh-CN"/>
              </w:rPr>
              <w:t>100</w:t>
            </w:r>
            <w:r>
              <w:rPr>
                <w:rFonts w:hint="eastAsia" w:ascii="仿宋" w:hAnsi="仿宋" w:eastAsia="仿宋"/>
                <w:b w:val="0"/>
                <w:bCs w:val="0"/>
                <w:sz w:val="22"/>
                <w:szCs w:val="22"/>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58" w:type="dxa"/>
            <w:vAlign w:val="center"/>
          </w:tcPr>
          <w:p>
            <w:pPr>
              <w:spacing w:line="360" w:lineRule="auto"/>
              <w:jc w:val="center"/>
              <w:rPr>
                <w:rFonts w:ascii="仿宋" w:hAnsi="仿宋" w:eastAsia="仿宋"/>
                <w:sz w:val="22"/>
                <w:szCs w:val="21"/>
              </w:rPr>
            </w:pPr>
            <w:r>
              <w:rPr>
                <w:rFonts w:ascii="仿宋" w:hAnsi="仿宋" w:eastAsia="仿宋"/>
                <w:sz w:val="22"/>
                <w:szCs w:val="21"/>
              </w:rPr>
              <w:t>3</w:t>
            </w:r>
          </w:p>
        </w:tc>
        <w:tc>
          <w:tcPr>
            <w:tcW w:w="1575"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投标要求</w:t>
            </w:r>
          </w:p>
        </w:tc>
        <w:tc>
          <w:tcPr>
            <w:tcW w:w="8130" w:type="dxa"/>
            <w:vAlign w:val="center"/>
          </w:tcPr>
          <w:p>
            <w:pPr>
              <w:spacing w:line="360" w:lineRule="auto"/>
              <w:rPr>
                <w:rFonts w:ascii="仿宋" w:hAnsi="仿宋" w:eastAsia="仿宋"/>
                <w:sz w:val="22"/>
                <w:szCs w:val="21"/>
              </w:rPr>
            </w:pPr>
            <w:r>
              <w:rPr>
                <w:rFonts w:ascii="仿宋" w:hAnsi="仿宋" w:eastAsia="仿宋"/>
                <w:sz w:val="22"/>
                <w:szCs w:val="21"/>
              </w:rPr>
              <w:t>本项目不接受挂</w:t>
            </w:r>
            <w:r>
              <w:rPr>
                <w:rFonts w:ascii="仿宋" w:hAnsi="仿宋" w:eastAsia="仿宋"/>
                <w:i w:val="0"/>
                <w:iCs w:val="0"/>
                <w:sz w:val="22"/>
                <w:szCs w:val="21"/>
                <w:highlight w:val="none"/>
              </w:rPr>
              <w:t>靠、分包、转包、联合体单</w:t>
            </w:r>
            <w:r>
              <w:rPr>
                <w:rFonts w:ascii="仿宋" w:hAnsi="仿宋" w:eastAsia="仿宋"/>
                <w:sz w:val="22"/>
                <w:szCs w:val="21"/>
              </w:rPr>
              <w:t>位参与投标</w:t>
            </w:r>
            <w:r>
              <w:rPr>
                <w:rFonts w:hint="eastAsia" w:ascii="仿宋" w:hAnsi="仿宋" w:eastAsia="仿宋"/>
                <w:sz w:val="22"/>
                <w:szCs w:val="21"/>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658" w:type="dxa"/>
            <w:vAlign w:val="center"/>
          </w:tcPr>
          <w:p>
            <w:pPr>
              <w:tabs>
                <w:tab w:val="center" w:pos="4153"/>
                <w:tab w:val="right" w:pos="8306"/>
              </w:tabs>
              <w:snapToGrid w:val="0"/>
              <w:spacing w:line="360" w:lineRule="auto"/>
              <w:jc w:val="center"/>
              <w:rPr>
                <w:rFonts w:ascii="仿宋" w:hAnsi="仿宋" w:eastAsia="仿宋"/>
                <w:sz w:val="22"/>
                <w:szCs w:val="21"/>
              </w:rPr>
            </w:pPr>
            <w:r>
              <w:rPr>
                <w:rFonts w:hint="eastAsia" w:ascii="仿宋" w:hAnsi="仿宋" w:eastAsia="仿宋"/>
                <w:sz w:val="22"/>
                <w:szCs w:val="21"/>
              </w:rPr>
              <w:t>4</w:t>
            </w:r>
          </w:p>
        </w:tc>
        <w:tc>
          <w:tcPr>
            <w:tcW w:w="1575"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业绩要求</w:t>
            </w:r>
          </w:p>
        </w:tc>
        <w:tc>
          <w:tcPr>
            <w:tcW w:w="8130" w:type="dxa"/>
            <w:vAlign w:val="center"/>
          </w:tcPr>
          <w:p>
            <w:pPr>
              <w:widowControl/>
              <w:spacing w:line="360" w:lineRule="auto"/>
              <w:rPr>
                <w:rFonts w:hint="eastAsia" w:ascii="仿宋" w:hAnsi="仿宋" w:eastAsia="仿宋" w:cs="宋体"/>
                <w:color w:val="auto"/>
                <w:kern w:val="0"/>
                <w:sz w:val="22"/>
                <w:szCs w:val="21"/>
              </w:rPr>
            </w:pPr>
            <w:r>
              <w:rPr>
                <w:rFonts w:hint="eastAsia" w:ascii="仿宋" w:hAnsi="仿宋" w:eastAsia="仿宋" w:cs="宋体"/>
                <w:color w:val="auto"/>
                <w:kern w:val="0"/>
                <w:sz w:val="22"/>
                <w:szCs w:val="21"/>
                <w:lang w:val="en-US" w:eastAsia="zh-CN"/>
              </w:rPr>
              <w:t>公司拥有丰富的发布会策划执行经验和新媒体传播经验，服务过国内外知名品牌。至少提供2019年至今，不少于3例成功案例说合同，高端烈性酒类饮品优先。其中至少1份海外大型活动策划执行合同，合同金额不低于人民币50万；至少提供1份新媒体社会化传播合同（含新媒体社会化传播创意策划、达人传播等内容），合同金额不低于人民币100万。</w:t>
            </w:r>
          </w:p>
          <w:p>
            <w:pPr>
              <w:widowControl/>
              <w:spacing w:line="360" w:lineRule="auto"/>
              <w:rPr>
                <w:rFonts w:ascii="仿宋" w:hAnsi="仿宋" w:eastAsia="仿宋" w:cs="宋体"/>
                <w:kern w:val="0"/>
                <w:sz w:val="22"/>
                <w:szCs w:val="21"/>
              </w:rPr>
            </w:pPr>
            <w:r>
              <w:rPr>
                <w:rFonts w:hint="eastAsia" w:ascii="仿宋" w:hAnsi="仿宋" w:eastAsia="仿宋" w:cs="宋体"/>
                <w:color w:val="auto"/>
                <w:kern w:val="0"/>
                <w:sz w:val="22"/>
                <w:szCs w:val="21"/>
              </w:rPr>
              <w:t>需提供合同关键页扫描件证明（甲乙方名称及双方盖章可见，合同主要内容概述、</w:t>
            </w:r>
            <w:r>
              <w:rPr>
                <w:rFonts w:hint="eastAsia" w:ascii="仿宋" w:hAnsi="仿宋" w:eastAsia="仿宋" w:cs="宋体"/>
                <w:color w:val="auto"/>
                <w:kern w:val="0"/>
                <w:sz w:val="22"/>
                <w:szCs w:val="21"/>
                <w:lang w:val="en-US" w:eastAsia="zh-CN"/>
              </w:rPr>
              <w:t>服务内容明细、</w:t>
            </w:r>
            <w:r>
              <w:rPr>
                <w:rFonts w:hint="eastAsia" w:ascii="仿宋" w:hAnsi="仿宋" w:eastAsia="仿宋" w:cs="宋体"/>
                <w:color w:val="auto"/>
                <w:kern w:val="0"/>
                <w:sz w:val="22"/>
                <w:szCs w:val="21"/>
              </w:rPr>
              <w:t>金额、时间可见，</w:t>
            </w:r>
            <w:r>
              <w:rPr>
                <w:rFonts w:hint="eastAsia" w:ascii="仿宋" w:hAnsi="仿宋" w:eastAsia="仿宋" w:cs="宋体"/>
                <w:color w:val="auto"/>
                <w:kern w:val="0"/>
                <w:sz w:val="22"/>
                <w:szCs w:val="21"/>
                <w:lang w:val="en-US" w:eastAsia="zh-CN"/>
              </w:rPr>
              <w:t>并</w:t>
            </w:r>
            <w:r>
              <w:rPr>
                <w:rFonts w:hint="eastAsia" w:ascii="仿宋" w:hAnsi="仿宋" w:eastAsia="仿宋" w:cs="宋体"/>
                <w:color w:val="auto"/>
                <w:kern w:val="0"/>
                <w:sz w:val="22"/>
                <w:szCs w:val="21"/>
              </w:rPr>
              <w:t>须提供合同发票）。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658" w:type="dxa"/>
            <w:vAlign w:val="center"/>
          </w:tcPr>
          <w:p>
            <w:pPr>
              <w:tabs>
                <w:tab w:val="center" w:pos="4153"/>
                <w:tab w:val="right" w:pos="8306"/>
              </w:tabs>
              <w:snapToGrid w:val="0"/>
              <w:spacing w:line="360" w:lineRule="auto"/>
              <w:jc w:val="center"/>
              <w:rPr>
                <w:rFonts w:ascii="仿宋" w:hAnsi="仿宋" w:eastAsia="仿宋"/>
                <w:sz w:val="22"/>
                <w:szCs w:val="21"/>
              </w:rPr>
            </w:pPr>
            <w:r>
              <w:rPr>
                <w:rFonts w:ascii="仿宋" w:hAnsi="仿宋" w:eastAsia="仿宋"/>
                <w:sz w:val="22"/>
                <w:szCs w:val="21"/>
              </w:rPr>
              <w:t>5</w:t>
            </w:r>
          </w:p>
        </w:tc>
        <w:tc>
          <w:tcPr>
            <w:tcW w:w="1575" w:type="dxa"/>
            <w:vAlign w:val="center"/>
          </w:tcPr>
          <w:p>
            <w:pPr>
              <w:spacing w:line="360" w:lineRule="auto"/>
              <w:jc w:val="center"/>
              <w:rPr>
                <w:rFonts w:ascii="仿宋" w:hAnsi="仿宋" w:eastAsia="仿宋" w:cs="宋体"/>
                <w:kern w:val="0"/>
                <w:sz w:val="22"/>
                <w:szCs w:val="21"/>
              </w:rPr>
            </w:pPr>
            <w:r>
              <w:rPr>
                <w:rFonts w:hint="eastAsia" w:ascii="仿宋" w:hAnsi="仿宋" w:eastAsia="仿宋" w:cs="宋体"/>
                <w:kern w:val="0"/>
                <w:sz w:val="22"/>
                <w:szCs w:val="21"/>
              </w:rPr>
              <w:t>其他</w:t>
            </w:r>
          </w:p>
        </w:tc>
        <w:tc>
          <w:tcPr>
            <w:tcW w:w="8130" w:type="dxa"/>
            <w:vAlign w:val="center"/>
          </w:tcPr>
          <w:p>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pPr>
        <w:spacing w:line="360" w:lineRule="auto"/>
        <w:ind w:left="480" w:leftChars="-2" w:hanging="484" w:hangingChars="202"/>
        <w:jc w:val="left"/>
        <w:rPr>
          <w:rFonts w:ascii="仿宋" w:hAnsi="仿宋" w:eastAsia="仿宋"/>
          <w:sz w:val="24"/>
        </w:rPr>
      </w:pPr>
    </w:p>
    <w:p>
      <w:pPr>
        <w:spacing w:line="360" w:lineRule="auto"/>
        <w:ind w:left="480" w:leftChars="-2" w:hanging="484" w:hangingChars="202"/>
        <w:jc w:val="left"/>
        <w:rPr>
          <w:rFonts w:ascii="仿宋" w:hAnsi="仿宋" w:eastAsia="仿宋"/>
          <w:b/>
          <w:sz w:val="24"/>
        </w:rPr>
      </w:pPr>
      <w:r>
        <w:rPr>
          <w:rFonts w:ascii="仿宋" w:hAnsi="仿宋" w:eastAsia="仿宋"/>
          <w:sz w:val="24"/>
        </w:rPr>
        <w:t>注</w:t>
      </w:r>
      <w:r>
        <w:rPr>
          <w:rFonts w:hint="eastAsia" w:ascii="仿宋" w:hAnsi="仿宋" w:eastAsia="仿宋"/>
          <w:sz w:val="24"/>
        </w:rPr>
        <w:t>：1、投标</w:t>
      </w:r>
      <w:r>
        <w:rPr>
          <w:rFonts w:ascii="仿宋" w:hAnsi="仿宋" w:eastAsia="仿宋"/>
          <w:sz w:val="24"/>
        </w:rPr>
        <w:t>人不满足上述资格条件中的任一条</w:t>
      </w:r>
      <w:r>
        <w:rPr>
          <w:rFonts w:hint="eastAsia" w:ascii="仿宋" w:hAnsi="仿宋" w:eastAsia="仿宋"/>
          <w:sz w:val="24"/>
        </w:rPr>
        <w:t>或</w:t>
      </w:r>
      <w:r>
        <w:rPr>
          <w:rFonts w:hint="eastAsia" w:ascii="仿宋" w:hAnsi="仿宋" w:eastAsia="仿宋"/>
          <w:b/>
          <w:sz w:val="24"/>
        </w:rPr>
        <w:t>在本项目涉及的相关行业有不良记录，以及曾为招标人提供相关服务但被评估为不合格或存在不良履约记录的，</w:t>
      </w:r>
      <w:r>
        <w:rPr>
          <w:rFonts w:ascii="仿宋" w:hAnsi="仿宋" w:eastAsia="仿宋"/>
          <w:b/>
          <w:sz w:val="24"/>
        </w:rPr>
        <w:t>其投标将被拒绝</w:t>
      </w:r>
      <w:r>
        <w:rPr>
          <w:rFonts w:hint="eastAsia" w:ascii="仿宋" w:hAnsi="仿宋" w:eastAsia="仿宋"/>
          <w:b/>
          <w:sz w:val="24"/>
        </w:rPr>
        <w:t>。</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2、投标</w:t>
      </w:r>
      <w:r>
        <w:rPr>
          <w:rFonts w:ascii="仿宋" w:hAnsi="仿宋" w:eastAsia="仿宋"/>
          <w:sz w:val="24"/>
        </w:rPr>
        <w:t>人</w:t>
      </w:r>
      <w:r>
        <w:rPr>
          <w:rFonts w:hint="eastAsia" w:ascii="仿宋" w:hAnsi="仿宋" w:eastAsia="仿宋"/>
          <w:sz w:val="24"/>
        </w:rPr>
        <w:t>提交的上述资料需真实、有效，且文字清晰、可辨认。</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3、除《附件一》中要求提供的文件外，可以另外提供投标人认为有必要的其他资质文件。</w:t>
      </w:r>
    </w:p>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2ZjI2NDAyZjEwMjQ2YTYwZjQxNzA1NWIyYzNlOT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9CE126F"/>
    <w:rsid w:val="0CD7653F"/>
    <w:rsid w:val="1E18008F"/>
    <w:rsid w:val="319B6CE9"/>
    <w:rsid w:val="38976D11"/>
    <w:rsid w:val="532A1909"/>
    <w:rsid w:val="560C3E90"/>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firstLineChars="20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1904</Words>
  <Characters>2052</Characters>
  <Lines>17</Lines>
  <Paragraphs>4</Paragraphs>
  <TotalTime>7</TotalTime>
  <ScaleCrop>false</ScaleCrop>
  <LinksUpToDate>false</LinksUpToDate>
  <CharactersWithSpaces>2075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2024-06-24T01:20:22Z</dcterms:modified>
  <dc:subject>仓储容器招标邀请</dc:subject>
  <dc:title>招标文件编号：20800008</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10FBDD19B1D549DEB2ADA35FBCE85E41</vt:lpwstr>
  </property>
</Properties>
</file>