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tabs>
          <w:tab w:val="left" w:pos="1949"/>
          <w:tab w:val="right" w:leader="dot" w:pos="9471"/>
        </w:tabs>
        <w:spacing w:after="0" w:line="460" w:lineRule="exact"/>
        <w:rPr>
          <w:rFonts w:ascii="微软雅黑" w:hAnsi="微软雅黑" w:eastAsia="微软雅黑" w:cs="微软雅黑"/>
          <w:b/>
          <w:color w:val="auto"/>
          <w:sz w:val="72"/>
          <w:szCs w:val="72"/>
          <w:lang w:eastAsia="zh-CN"/>
        </w:rPr>
      </w:pPr>
      <w:bookmarkStart w:id="0" w:name="_Toc478328391"/>
      <w:bookmarkStart w:id="1" w:name="_Toc478328673"/>
      <w:bookmarkStart w:id="2" w:name="_Toc478329157"/>
      <w:r>
        <w:rPr>
          <w:rFonts w:hint="eastAsia" w:ascii="微软雅黑" w:hAnsi="微软雅黑" w:eastAsia="微软雅黑" w:cs="微软雅黑"/>
          <w:b/>
          <w:color w:val="auto"/>
          <w:sz w:val="72"/>
          <w:szCs w:val="72"/>
          <w:lang w:eastAsia="zh-CN"/>
        </w:rPr>
        <w:tab/>
      </w:r>
    </w:p>
    <w:p>
      <w:pPr>
        <w:spacing w:after="0" w:line="460" w:lineRule="exact"/>
        <w:jc w:val="center"/>
        <w:rPr>
          <w:rFonts w:hint="eastAsia" w:ascii="仿宋" w:hAnsi="仿宋" w:eastAsia="仿宋" w:cs="仿宋"/>
          <w:b/>
          <w:bCs/>
          <w:color w:val="auto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b/>
          <w:bCs/>
          <w:color w:val="auto"/>
          <w:sz w:val="32"/>
          <w:szCs w:val="32"/>
          <w:lang w:eastAsia="zh-CN"/>
        </w:rPr>
        <w:t>四川沱牌贸易有限公司</w:t>
      </w:r>
    </w:p>
    <w:p>
      <w:pPr>
        <w:spacing w:after="0" w:line="460" w:lineRule="exact"/>
        <w:jc w:val="center"/>
        <w:rPr>
          <w:rFonts w:hint="eastAsia" w:ascii="仿宋" w:hAnsi="仿宋" w:eastAsia="仿宋" w:cs="仿宋"/>
          <w:b/>
          <w:bCs/>
          <w:color w:val="auto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b/>
          <w:bCs/>
          <w:color w:val="auto"/>
          <w:sz w:val="32"/>
          <w:szCs w:val="32"/>
          <w:lang w:eastAsia="zh-CN"/>
        </w:rPr>
        <w:t>T68·沱牌特级480mL×6（手提箱·2024版）包材采购项目</w:t>
      </w:r>
    </w:p>
    <w:p>
      <w:pPr>
        <w:spacing w:after="0" w:line="460" w:lineRule="exact"/>
        <w:jc w:val="center"/>
        <w:rPr>
          <w:rFonts w:hint="eastAsia" w:ascii="仿宋" w:hAnsi="仿宋" w:eastAsia="仿宋" w:cs="仿宋"/>
          <w:b/>
          <w:bCs/>
          <w:color w:val="auto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b/>
          <w:bCs/>
          <w:color w:val="auto"/>
          <w:sz w:val="32"/>
          <w:szCs w:val="32"/>
          <w:lang w:eastAsia="zh-CN"/>
        </w:rPr>
        <w:t>招标公告</w:t>
      </w:r>
    </w:p>
    <w:p>
      <w:pPr>
        <w:spacing w:before="160" w:beforeLines="50" w:after="0" w:line="460" w:lineRule="exact"/>
        <w:jc w:val="center"/>
        <w:rPr>
          <w:rFonts w:hint="eastAsia" w:ascii="仿宋" w:hAnsi="仿宋" w:eastAsia="仿宋" w:cs="仿宋"/>
          <w:b/>
          <w:bCs/>
          <w:color w:val="auto"/>
          <w:sz w:val="24"/>
          <w:szCs w:val="24"/>
          <w:highlight w:val="cyan"/>
          <w:lang w:eastAsia="zh-CN"/>
        </w:rPr>
      </w:pPr>
      <w:r>
        <w:rPr>
          <w:rFonts w:hint="eastAsia" w:ascii="仿宋" w:hAnsi="仿宋" w:eastAsia="仿宋" w:cs="仿宋"/>
          <w:b/>
          <w:bCs/>
          <w:color w:val="auto"/>
          <w:sz w:val="24"/>
          <w:szCs w:val="24"/>
          <w:lang w:eastAsia="zh-CN"/>
        </w:rPr>
        <w:t>招标编号：沱贸司招（202</w:t>
      </w:r>
      <w:r>
        <w:rPr>
          <w:rFonts w:hint="eastAsia" w:ascii="仿宋" w:hAnsi="仿宋" w:eastAsia="仿宋" w:cs="仿宋"/>
          <w:b/>
          <w:bCs/>
          <w:color w:val="auto"/>
          <w:sz w:val="24"/>
          <w:szCs w:val="24"/>
          <w:lang w:val="en-US" w:eastAsia="zh-CN"/>
        </w:rPr>
        <w:t>4</w:t>
      </w:r>
      <w:r>
        <w:rPr>
          <w:rFonts w:hint="eastAsia" w:ascii="仿宋" w:hAnsi="仿宋" w:eastAsia="仿宋" w:cs="仿宋"/>
          <w:b/>
          <w:bCs/>
          <w:color w:val="auto"/>
          <w:sz w:val="24"/>
          <w:szCs w:val="24"/>
          <w:lang w:eastAsia="zh-CN"/>
        </w:rPr>
        <w:t>）ZC1-0</w:t>
      </w:r>
      <w:r>
        <w:rPr>
          <w:rFonts w:hint="eastAsia" w:ascii="仿宋" w:hAnsi="仿宋" w:eastAsia="仿宋" w:cs="仿宋"/>
          <w:b/>
          <w:bCs/>
          <w:color w:val="auto"/>
          <w:sz w:val="24"/>
          <w:szCs w:val="24"/>
          <w:lang w:val="en-US" w:eastAsia="zh-CN"/>
        </w:rPr>
        <w:t>07</w:t>
      </w:r>
      <w:r>
        <w:rPr>
          <w:rFonts w:hint="eastAsia" w:ascii="仿宋" w:hAnsi="仿宋" w:eastAsia="仿宋" w:cs="仿宋"/>
          <w:b/>
          <w:bCs/>
          <w:color w:val="auto"/>
          <w:sz w:val="24"/>
          <w:szCs w:val="24"/>
          <w:lang w:eastAsia="zh-CN"/>
        </w:rPr>
        <w:t>号</w:t>
      </w:r>
    </w:p>
    <w:p>
      <w:pPr>
        <w:pStyle w:val="4"/>
        <w:numPr>
          <w:ilvl w:val="0"/>
          <w:numId w:val="0"/>
        </w:numPr>
        <w:rPr>
          <w:color w:val="auto"/>
          <w:lang w:eastAsia="zh-CN"/>
        </w:rPr>
      </w:pPr>
    </w:p>
    <w:p>
      <w:pPr>
        <w:spacing w:after="0" w:line="460" w:lineRule="exact"/>
        <w:ind w:firstLine="470" w:firstLineChars="196"/>
        <w:rPr>
          <w:rFonts w:ascii="仿宋" w:hAnsi="仿宋" w:eastAsia="仿宋" w:cs="仿宋"/>
          <w:bCs/>
          <w:color w:val="auto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四川沱牌贸易有限公司（以下称“招标人”）现就T68·沱牌特级480mL×6（手提箱·2024版）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val="en-US" w:eastAsia="zh-CN"/>
        </w:rPr>
        <w:t>所涉包材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进行对外公开招标采购，热忱欢迎符合条件的包装生产企业参加投标。</w:t>
      </w:r>
    </w:p>
    <w:p>
      <w:pPr>
        <w:numPr>
          <w:ilvl w:val="0"/>
          <w:numId w:val="1"/>
        </w:numPr>
        <w:spacing w:after="0" w:line="460" w:lineRule="exact"/>
        <w:ind w:firstLine="420" w:firstLineChars="200"/>
        <w:rPr>
          <w:rFonts w:hint="eastAsia" w:ascii="仿宋" w:hAnsi="仿宋" w:eastAsia="仿宋" w:cs="仿宋"/>
          <w:bCs/>
          <w:color w:val="auto"/>
          <w:sz w:val="21"/>
          <w:szCs w:val="21"/>
        </w:rPr>
      </w:pPr>
      <w:r>
        <w:rPr>
          <w:rFonts w:hint="eastAsia" w:ascii="仿宋" w:hAnsi="仿宋" w:eastAsia="仿宋" w:cs="仿宋"/>
          <w:bCs/>
          <w:color w:val="auto"/>
          <w:sz w:val="21"/>
          <w:szCs w:val="21"/>
        </w:rPr>
        <w:t>招标标的</w:t>
      </w:r>
    </w:p>
    <w:tbl>
      <w:tblPr>
        <w:tblStyle w:val="33"/>
        <w:tblpPr w:leftFromText="180" w:rightFromText="180" w:vertAnchor="text" w:horzAnchor="page" w:tblpX="1099" w:tblpY="80"/>
        <w:tblOverlap w:val="never"/>
        <w:tblW w:w="10005" w:type="dxa"/>
        <w:tblInd w:w="0" w:type="dxa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835"/>
        <w:gridCol w:w="1080"/>
        <w:gridCol w:w="4790"/>
        <w:gridCol w:w="3300"/>
      </w:tblGrid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17" w:hRule="atLeast"/>
        </w:trPr>
        <w:tc>
          <w:tcPr>
            <w:tcW w:w="835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spacing w:after="0" w:line="400" w:lineRule="exact"/>
              <w:jc w:val="center"/>
              <w:textAlignment w:val="center"/>
              <w:rPr>
                <w:rFonts w:hint="default" w:ascii="仿宋" w:hAnsi="仿宋" w:eastAsia="仿宋" w:cs="仿宋"/>
                <w:b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lang w:val="en-US" w:eastAsia="zh-CN"/>
              </w:rPr>
              <w:t>标段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spacing w:after="0" w:line="400" w:lineRule="exact"/>
              <w:jc w:val="center"/>
              <w:textAlignment w:val="center"/>
              <w:rPr>
                <w:rFonts w:ascii="仿宋" w:hAnsi="仿宋" w:eastAsia="仿宋" w:cs="仿宋"/>
                <w:b/>
                <w:bCs/>
                <w:color w:val="auto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lang w:eastAsia="zh-CN"/>
              </w:rPr>
              <w:t>标的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</w:rPr>
              <w:t>类别</w:t>
            </w:r>
          </w:p>
        </w:tc>
        <w:tc>
          <w:tcPr>
            <w:tcW w:w="4790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after="0" w:line="400" w:lineRule="exact"/>
              <w:jc w:val="center"/>
              <w:textAlignment w:val="center"/>
              <w:rPr>
                <w:rFonts w:ascii="仿宋" w:hAnsi="仿宋" w:eastAsia="仿宋" w:cs="仿宋"/>
                <w:b/>
                <w:bCs/>
                <w:color w:val="auto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</w:rPr>
              <w:t>招标标的</w:t>
            </w:r>
          </w:p>
        </w:tc>
        <w:tc>
          <w:tcPr>
            <w:tcW w:w="3300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spacing w:after="0" w:line="400" w:lineRule="exact"/>
              <w:jc w:val="center"/>
              <w:textAlignment w:val="center"/>
              <w:rPr>
                <w:rFonts w:ascii="仿宋" w:hAnsi="仿宋" w:eastAsia="仿宋" w:cs="仿宋"/>
                <w:b/>
                <w:bCs/>
                <w:color w:val="auto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b/>
                <w:color w:val="auto"/>
                <w:sz w:val="21"/>
                <w:szCs w:val="21"/>
              </w:rPr>
              <w:t>备注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8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460" w:lineRule="exact"/>
              <w:jc w:val="center"/>
              <w:rPr>
                <w:rFonts w:hint="default" w:ascii="仿宋" w:hAnsi="仿宋" w:eastAsia="仿宋" w:cs="仿宋"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1"/>
                <w:szCs w:val="21"/>
                <w:lang w:val="en-US" w:eastAsia="zh-CN"/>
              </w:rPr>
              <w:t>标段一</w:t>
            </w:r>
          </w:p>
        </w:tc>
        <w:tc>
          <w:tcPr>
            <w:tcW w:w="1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460" w:lineRule="exact"/>
              <w:jc w:val="center"/>
              <w:rPr>
                <w:rFonts w:hint="eastAsia" w:ascii="仿宋" w:hAnsi="仿宋" w:eastAsia="仿宋" w:cs="仿宋"/>
                <w:bCs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1"/>
                <w:szCs w:val="21"/>
                <w:lang w:eastAsia="zh-CN"/>
              </w:rPr>
              <w:t>纸包装</w:t>
            </w:r>
          </w:p>
        </w:tc>
        <w:tc>
          <w:tcPr>
            <w:tcW w:w="47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460" w:lineRule="exact"/>
              <w:rPr>
                <w:rFonts w:hint="default" w:ascii="仿宋" w:hAnsi="仿宋" w:eastAsia="仿宋" w:cs="仿宋"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1"/>
                <w:szCs w:val="21"/>
                <w:lang w:eastAsia="zh-CN"/>
              </w:rPr>
              <w:t>T68·沱牌特级480mL×6（手提箱·2024版）</w:t>
            </w:r>
            <w:r>
              <w:rPr>
                <w:rFonts w:hint="eastAsia" w:ascii="仿宋" w:hAnsi="仿宋" w:eastAsia="仿宋" w:cs="仿宋"/>
                <w:bCs/>
                <w:color w:val="auto"/>
                <w:sz w:val="21"/>
                <w:szCs w:val="21"/>
                <w:lang w:val="en-US" w:eastAsia="zh-CN"/>
              </w:rPr>
              <w:t>酒箱</w:t>
            </w:r>
          </w:p>
        </w:tc>
        <w:tc>
          <w:tcPr>
            <w:tcW w:w="33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460" w:lineRule="exact"/>
              <w:rPr>
                <w:rFonts w:hint="default" w:ascii="仿宋" w:hAnsi="仿宋" w:eastAsia="仿宋" w:cs="仿宋"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1"/>
                <w:szCs w:val="21"/>
                <w:lang w:eastAsia="zh-CN"/>
              </w:rPr>
              <w:t>普箱（含手提</w:t>
            </w:r>
            <w:r>
              <w:rPr>
                <w:rFonts w:hint="eastAsia" w:ascii="仿宋" w:hAnsi="仿宋" w:eastAsia="仿宋" w:cs="仿宋"/>
                <w:bCs/>
                <w:color w:val="auto"/>
                <w:sz w:val="21"/>
                <w:szCs w:val="21"/>
                <w:lang w:val="en-US" w:eastAsia="zh-CN"/>
              </w:rPr>
              <w:t>扣</w:t>
            </w:r>
            <w:r>
              <w:rPr>
                <w:rFonts w:hint="eastAsia" w:ascii="仿宋" w:hAnsi="仿宋" w:eastAsia="仿宋" w:cs="仿宋"/>
                <w:bCs/>
                <w:color w:val="auto"/>
                <w:sz w:val="21"/>
                <w:szCs w:val="21"/>
                <w:lang w:eastAsia="zh-CN"/>
              </w:rPr>
              <w:t>、上下垫板、格卡）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8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460" w:lineRule="exact"/>
              <w:jc w:val="center"/>
              <w:rPr>
                <w:rFonts w:hint="default" w:ascii="仿宋" w:hAnsi="仿宋" w:eastAsia="仿宋" w:cs="仿宋"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1"/>
                <w:szCs w:val="21"/>
                <w:lang w:val="en-US" w:eastAsia="zh-CN"/>
              </w:rPr>
              <w:t>标段二</w:t>
            </w:r>
          </w:p>
        </w:tc>
        <w:tc>
          <w:tcPr>
            <w:tcW w:w="1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460" w:lineRule="exact"/>
              <w:jc w:val="center"/>
              <w:rPr>
                <w:rFonts w:hint="default" w:ascii="仿宋" w:hAnsi="仿宋" w:eastAsia="仿宋" w:cs="仿宋"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1"/>
                <w:szCs w:val="21"/>
                <w:lang w:val="en-US" w:eastAsia="zh-CN"/>
              </w:rPr>
              <w:t>酒  瓶</w:t>
            </w:r>
          </w:p>
        </w:tc>
        <w:tc>
          <w:tcPr>
            <w:tcW w:w="47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460" w:lineRule="exact"/>
              <w:rPr>
                <w:rFonts w:hint="eastAsia" w:ascii="仿宋" w:hAnsi="仿宋" w:eastAsia="仿宋" w:cs="仿宋"/>
                <w:bCs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1"/>
                <w:szCs w:val="21"/>
                <w:lang w:eastAsia="zh-CN"/>
              </w:rPr>
              <w:t>T68·沱牌特级480m</w:t>
            </w:r>
            <w:r>
              <w:rPr>
                <w:rFonts w:hint="eastAsia" w:ascii="仿宋" w:hAnsi="仿宋" w:eastAsia="仿宋" w:cs="仿宋"/>
                <w:bCs/>
                <w:color w:val="auto"/>
                <w:sz w:val="21"/>
                <w:szCs w:val="21"/>
                <w:lang w:val="en-US" w:eastAsia="zh-CN"/>
              </w:rPr>
              <w:t>L</w:t>
            </w:r>
            <w:r>
              <w:rPr>
                <w:rFonts w:hint="eastAsia" w:ascii="仿宋" w:hAnsi="仿宋" w:eastAsia="仿宋" w:cs="仿宋"/>
                <w:bCs/>
                <w:color w:val="auto"/>
                <w:sz w:val="21"/>
                <w:szCs w:val="21"/>
                <w:lang w:eastAsia="zh-CN"/>
              </w:rPr>
              <w:t xml:space="preserve"> (手提箱·2024版)瓶</w:t>
            </w:r>
          </w:p>
        </w:tc>
        <w:tc>
          <w:tcPr>
            <w:tcW w:w="33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460" w:lineRule="exact"/>
              <w:rPr>
                <w:rFonts w:hint="default" w:ascii="仿宋" w:hAnsi="仿宋" w:eastAsia="仿宋" w:cs="仿宋"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1"/>
                <w:szCs w:val="21"/>
                <w:lang w:val="en-US" w:eastAsia="zh-CN"/>
              </w:rPr>
              <w:t>精白料透明瓶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8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460" w:lineRule="exact"/>
              <w:jc w:val="center"/>
              <w:rPr>
                <w:rFonts w:hint="default" w:ascii="仿宋" w:hAnsi="仿宋" w:eastAsia="仿宋" w:cs="仿宋"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1"/>
                <w:szCs w:val="21"/>
                <w:lang w:val="en-US" w:eastAsia="zh-CN"/>
              </w:rPr>
              <w:t>标段三</w:t>
            </w:r>
          </w:p>
        </w:tc>
        <w:tc>
          <w:tcPr>
            <w:tcW w:w="1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460" w:lineRule="exact"/>
              <w:jc w:val="center"/>
              <w:rPr>
                <w:rFonts w:hint="default" w:ascii="仿宋" w:hAnsi="仿宋" w:eastAsia="仿宋" w:cs="仿宋"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1"/>
                <w:szCs w:val="21"/>
                <w:lang w:val="en-US" w:eastAsia="zh-CN"/>
              </w:rPr>
              <w:t>瓶  盖</w:t>
            </w:r>
          </w:p>
        </w:tc>
        <w:tc>
          <w:tcPr>
            <w:tcW w:w="47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460" w:lineRule="exact"/>
              <w:rPr>
                <w:rFonts w:hint="eastAsia" w:ascii="仿宋" w:hAnsi="仿宋" w:eastAsia="仿宋" w:cs="仿宋"/>
                <w:bCs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1"/>
                <w:szCs w:val="21"/>
                <w:lang w:eastAsia="zh-CN"/>
              </w:rPr>
              <w:t>T68·沱牌特级480m</w:t>
            </w:r>
            <w:r>
              <w:rPr>
                <w:rFonts w:hint="eastAsia" w:ascii="仿宋" w:hAnsi="仿宋" w:eastAsia="仿宋" w:cs="仿宋"/>
                <w:bCs/>
                <w:color w:val="auto"/>
                <w:sz w:val="21"/>
                <w:szCs w:val="21"/>
                <w:lang w:val="en-US" w:eastAsia="zh-CN"/>
              </w:rPr>
              <w:t>L</w:t>
            </w:r>
            <w:r>
              <w:rPr>
                <w:rFonts w:hint="eastAsia" w:ascii="仿宋" w:hAnsi="仿宋" w:eastAsia="仿宋" w:cs="仿宋"/>
                <w:bCs/>
                <w:color w:val="auto"/>
                <w:sz w:val="21"/>
                <w:szCs w:val="21"/>
                <w:lang w:eastAsia="zh-CN"/>
              </w:rPr>
              <w:t>(手提箱·2024版)瓶盖</w:t>
            </w:r>
          </w:p>
        </w:tc>
        <w:tc>
          <w:tcPr>
            <w:tcW w:w="33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460" w:lineRule="exact"/>
              <w:jc w:val="both"/>
              <w:rPr>
                <w:rFonts w:hint="default" w:ascii="仿宋" w:hAnsi="仿宋" w:eastAsia="仿宋" w:cs="仿宋"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1"/>
                <w:szCs w:val="21"/>
                <w:lang w:val="en-US" w:eastAsia="zh-CN"/>
              </w:rPr>
              <w:t>铝塑结合盖</w:t>
            </w:r>
          </w:p>
        </w:tc>
      </w:tr>
    </w:tbl>
    <w:p>
      <w:pPr>
        <w:pStyle w:val="58"/>
        <w:tabs>
          <w:tab w:val="left" w:pos="540"/>
        </w:tabs>
        <w:adjustRightInd w:val="0"/>
        <w:snapToGrid w:val="0"/>
        <w:spacing w:after="0" w:line="460" w:lineRule="exact"/>
        <w:ind w:left="0" w:leftChars="0" w:firstLine="480" w:firstLineChars="200"/>
        <w:rPr>
          <w:rFonts w:ascii="仿宋" w:hAnsi="仿宋" w:eastAsia="仿宋" w:cs="仿宋"/>
          <w:bCs/>
          <w:color w:val="auto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bCs/>
          <w:color w:val="auto"/>
          <w:sz w:val="24"/>
          <w:szCs w:val="24"/>
          <w:lang w:val="en-US" w:eastAsia="zh-CN"/>
        </w:rPr>
        <w:t>二、参与投标的潜在投标人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资格要求</w:t>
      </w:r>
    </w:p>
    <w:p>
      <w:pPr>
        <w:spacing w:after="0" w:line="460" w:lineRule="exact"/>
        <w:ind w:firstLine="436" w:firstLineChars="182"/>
        <w:rPr>
          <w:rFonts w:ascii="仿宋" w:hAnsi="仿宋" w:eastAsia="仿宋" w:cs="仿宋"/>
          <w:bCs/>
          <w:color w:val="auto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（一）具有独立承担民事责任能力的法人企业；注册资本（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val="en-US" w:eastAsia="zh-CN"/>
        </w:rPr>
        <w:t>以人民币计）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不少于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val="en-US" w:eastAsia="zh-CN"/>
        </w:rPr>
        <w:t>相应标段要求【标段一、标段二2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000万元，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val="en-US" w:eastAsia="zh-CN"/>
        </w:rPr>
        <w:t>标段三1000万元】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，实缴资本（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val="en-US" w:eastAsia="zh-CN"/>
        </w:rPr>
        <w:t>以人民币计）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不少于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val="en-US" w:eastAsia="zh-CN"/>
        </w:rPr>
        <w:t>相应标段要求【标段一、标段二10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00万元，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val="en-US" w:eastAsia="zh-CN"/>
        </w:rPr>
        <w:t>标段三500万元】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；且具备承担本项目的资质条件【有效的营业执照等】、</w:t>
      </w:r>
      <w:r>
        <w:rPr>
          <w:rFonts w:hint="eastAsia" w:ascii="仿宋" w:hAnsi="仿宋" w:eastAsia="仿宋" w:cs="仿宋"/>
          <w:color w:val="auto"/>
          <w:sz w:val="24"/>
          <w:szCs w:val="24"/>
          <w:lang w:eastAsia="zh-CN"/>
        </w:rPr>
        <w:t>投标人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应是</w:t>
      </w:r>
      <w:r>
        <w:rPr>
          <w:rFonts w:hint="eastAsia" w:ascii="仿宋" w:hAnsi="仿宋" w:eastAsia="仿宋" w:cs="仿宋"/>
          <w:b/>
          <w:color w:val="auto"/>
          <w:sz w:val="24"/>
          <w:szCs w:val="24"/>
          <w:lang w:eastAsia="zh-CN"/>
        </w:rPr>
        <w:t>招标标的</w:t>
      </w:r>
      <w:r>
        <w:rPr>
          <w:rStyle w:val="78"/>
          <w:rFonts w:hint="default" w:ascii="仿宋" w:hAnsi="仿宋" w:eastAsia="仿宋" w:cs="仿宋"/>
          <w:bCs/>
          <w:color w:val="auto"/>
          <w:lang w:eastAsia="zh-CN"/>
        </w:rPr>
        <w:t>直接生产型企业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；</w:t>
      </w:r>
      <w:r>
        <w:rPr>
          <w:rFonts w:hint="eastAsia" w:ascii="仿宋" w:hAnsi="仿宋" w:eastAsia="仿宋" w:cs="仿宋"/>
          <w:color w:val="auto"/>
          <w:sz w:val="24"/>
          <w:szCs w:val="24"/>
          <w:lang w:eastAsia="zh-CN"/>
        </w:rPr>
        <w:t>投标人为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一般纳税人，能够开具13%增值税专用发票等。</w:t>
      </w:r>
    </w:p>
    <w:p>
      <w:pPr>
        <w:spacing w:after="0" w:line="460" w:lineRule="exact"/>
        <w:ind w:firstLine="436" w:firstLineChars="182"/>
        <w:rPr>
          <w:rFonts w:ascii="仿宋" w:hAnsi="仿宋" w:eastAsia="仿宋" w:cs="仿宋"/>
          <w:bCs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（二）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val="en-US" w:eastAsia="zh-CN"/>
        </w:rPr>
        <w:t>纸包装类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投标人必须具备印刷经营许可证；</w:t>
      </w:r>
      <w:r>
        <w:rPr>
          <w:rFonts w:hint="eastAsia" w:ascii="仿宋" w:hAnsi="仿宋" w:eastAsia="仿宋" w:cs="仿宋"/>
          <w:bCs/>
          <w:sz w:val="24"/>
          <w:szCs w:val="24"/>
          <w:lang w:eastAsia="zh-CN"/>
        </w:rPr>
        <w:t>瓶盖类投标人必须具备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印刷经营许可证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val="en-US" w:eastAsia="zh-CN"/>
        </w:rPr>
        <w:t>与</w:t>
      </w:r>
      <w:r>
        <w:rPr>
          <w:rFonts w:hint="eastAsia" w:ascii="仿宋" w:hAnsi="仿宋" w:eastAsia="仿宋" w:cs="仿宋"/>
          <w:bCs/>
          <w:sz w:val="24"/>
          <w:szCs w:val="24"/>
          <w:lang w:eastAsia="zh-CN"/>
        </w:rPr>
        <w:t>生产许可证。</w:t>
      </w:r>
    </w:p>
    <w:p>
      <w:pPr>
        <w:spacing w:after="0" w:line="460" w:lineRule="exact"/>
        <w:ind w:firstLine="436" w:firstLineChars="182"/>
        <w:rPr>
          <w:rFonts w:ascii="仿宋" w:hAnsi="仿宋" w:eastAsia="仿宋" w:cs="仿宋"/>
          <w:bCs/>
          <w:color w:val="auto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（三）通过质量管理体系认证（ISO9001标准)、环境管理体系认证（ISO14001标准) （或具备排放污染物许可证），且证书有效。</w:t>
      </w:r>
    </w:p>
    <w:p>
      <w:pPr>
        <w:spacing w:after="0" w:line="460" w:lineRule="exact"/>
        <w:ind w:firstLine="436" w:firstLineChars="182"/>
        <w:rPr>
          <w:rFonts w:ascii="仿宋" w:hAnsi="仿宋" w:eastAsia="仿宋" w:cs="仿宋"/>
          <w:bCs/>
          <w:color w:val="auto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（四）具有较强资金实力、财务状况良好，近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val="en-US" w:eastAsia="zh-CN"/>
        </w:rPr>
        <w:t>三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年无亏损；有较大生产规模和供货能力；有良好售后服务能力等。</w:t>
      </w:r>
    </w:p>
    <w:p>
      <w:pPr>
        <w:spacing w:after="0" w:line="460" w:lineRule="exact"/>
        <w:ind w:firstLine="436" w:firstLineChars="182"/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（五）投标人在信用中国（</w:t>
      </w:r>
      <w:r>
        <w:rPr>
          <w:rFonts w:hint="default" w:ascii="仿宋" w:hAnsi="仿宋" w:eastAsia="仿宋" w:cs="仿宋"/>
          <w:bCs/>
          <w:color w:val="auto"/>
          <w:sz w:val="24"/>
          <w:szCs w:val="24"/>
          <w:lang w:eastAsia="zh-CN"/>
        </w:rPr>
        <w:t>http://www.creditchina.gov.cn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）平台上无失信记录。</w:t>
      </w:r>
    </w:p>
    <w:p>
      <w:pPr>
        <w:adjustRightInd w:val="0"/>
        <w:snapToGrid w:val="0"/>
        <w:spacing w:after="0" w:line="440" w:lineRule="exact"/>
        <w:ind w:firstLine="480" w:firstLineChars="200"/>
        <w:rPr>
          <w:rFonts w:ascii="仿宋" w:hAnsi="仿宋" w:eastAsia="仿宋" w:cs="仿宋"/>
          <w:bCs/>
          <w:color w:val="auto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（六）系同一集团、同一法定代表人、存在控制或管理关联关系、有相同股东等企业，不能同时参与本招标项目投标。</w:t>
      </w:r>
    </w:p>
    <w:p>
      <w:pPr>
        <w:adjustRightInd w:val="0"/>
        <w:snapToGrid w:val="0"/>
        <w:spacing w:after="0" w:line="440" w:lineRule="exact"/>
        <w:ind w:firstLine="480" w:firstLineChars="200"/>
        <w:rPr>
          <w:rFonts w:ascii="仿宋" w:hAnsi="仿宋" w:eastAsia="仿宋" w:cs="仿宋"/>
          <w:bCs/>
          <w:color w:val="auto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（七）本招标项目不接受联合体投标。</w:t>
      </w:r>
    </w:p>
    <w:p>
      <w:pPr>
        <w:spacing w:after="0" w:line="460" w:lineRule="exact"/>
        <w:ind w:firstLine="480" w:firstLineChars="200"/>
        <w:rPr>
          <w:rFonts w:ascii="仿宋" w:hAnsi="仿宋" w:eastAsia="仿宋" w:cs="仿宋"/>
          <w:bCs/>
          <w:color w:val="auto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三、报名</w:t>
      </w:r>
    </w:p>
    <w:p>
      <w:pPr>
        <w:spacing w:after="0" w:line="460" w:lineRule="exact"/>
        <w:ind w:firstLine="480" w:firstLineChars="200"/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（一）报名时间：202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val="en-US" w:eastAsia="zh-CN"/>
        </w:rPr>
        <w:t>4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年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val="en-US" w:eastAsia="zh-CN"/>
        </w:rPr>
        <w:t>7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月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val="en-US" w:eastAsia="zh-CN"/>
        </w:rPr>
        <w:t>12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日-202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val="en-US" w:eastAsia="zh-CN"/>
        </w:rPr>
        <w:t>4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年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val="en-US" w:eastAsia="zh-CN"/>
        </w:rPr>
        <w:t>7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月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val="en-US" w:eastAsia="zh-CN"/>
        </w:rPr>
        <w:t>19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日，上午8:30-11：30，下午14：00-1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val="en-US" w:eastAsia="zh-CN"/>
        </w:rPr>
        <w:t>7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: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val="en-US" w:eastAsia="zh-CN"/>
        </w:rPr>
        <w:t>0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0(节假日除外，北京时间，下同)。</w:t>
      </w:r>
    </w:p>
    <w:p>
      <w:pPr>
        <w:spacing w:after="0" w:line="460" w:lineRule="exact"/>
        <w:ind w:firstLine="480" w:firstLineChars="200"/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（二）报名方式：请有意向且符合上述条件的投标人于202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val="en-US" w:eastAsia="zh-CN"/>
        </w:rPr>
        <w:t>4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年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val="en-US" w:eastAsia="zh-CN"/>
        </w:rPr>
        <w:t>7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月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val="en-US" w:eastAsia="zh-CN"/>
        </w:rPr>
        <w:t>19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日17:30前，登陆舍得酒业招采数字化平台(网址： https://ssrm.shede.com.cn），点击页面顶部“一链网”参与项目报名, 并按照“附件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val="en-US" w:eastAsia="zh-CN"/>
        </w:rPr>
        <w:t>一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投标预审资料提交模板”的要求提供资格预审盖章扫描文件。</w:t>
      </w:r>
    </w:p>
    <w:p>
      <w:pPr>
        <w:spacing w:after="0" w:line="460" w:lineRule="exact"/>
        <w:ind w:firstLine="480" w:firstLineChars="200"/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未按照上述要求进行报名的均视为报名无效。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val="en-US" w:eastAsia="zh-CN"/>
        </w:rPr>
        <w:t>报名截止后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通过资格预审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val="en-US" w:eastAsia="zh-CN"/>
        </w:rPr>
        <w:t>并缴纳投标保证金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的投标人方可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val="en-US" w:eastAsia="zh-CN"/>
        </w:rPr>
        <w:t>获取招标文件、招标样品并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参加投标。</w:t>
      </w:r>
    </w:p>
    <w:p>
      <w:pPr>
        <w:numPr>
          <w:ilvl w:val="0"/>
          <w:numId w:val="2"/>
        </w:numPr>
        <w:spacing w:after="0" w:line="460" w:lineRule="exact"/>
        <w:ind w:firstLine="480" w:firstLineChars="200"/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投标人提交的资质证明材料，经招标人资格预审合格后报名成功, 未提供或提供不全者，报名不予受理。</w:t>
      </w:r>
    </w:p>
    <w:p>
      <w:pPr>
        <w:spacing w:after="0" w:line="460" w:lineRule="exact"/>
        <w:ind w:firstLine="480" w:firstLineChars="200"/>
        <w:rPr>
          <w:rFonts w:ascii="仿宋" w:hAnsi="仿宋" w:eastAsia="仿宋" w:cs="仿宋"/>
          <w:bCs/>
          <w:color w:val="auto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四、招标人资格审查</w:t>
      </w:r>
    </w:p>
    <w:p>
      <w:pPr>
        <w:tabs>
          <w:tab w:val="left" w:pos="540"/>
        </w:tabs>
        <w:spacing w:after="0" w:line="460" w:lineRule="exact"/>
        <w:ind w:firstLine="480" w:firstLineChars="200"/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（一）审查方式：资质预审+资格后审相结合。</w:t>
      </w:r>
    </w:p>
    <w:p>
      <w:pPr>
        <w:tabs>
          <w:tab w:val="left" w:pos="540"/>
        </w:tabs>
        <w:spacing w:after="0" w:line="460" w:lineRule="exact"/>
        <w:ind w:firstLine="480" w:firstLineChars="200"/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（二）资质预审时间：202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val="en-US" w:eastAsia="zh-CN"/>
        </w:rPr>
        <w:t>4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年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val="en-US" w:eastAsia="zh-CN"/>
        </w:rPr>
        <w:t>7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月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val="en-US" w:eastAsia="zh-CN"/>
        </w:rPr>
        <w:t>19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日-202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val="en-US" w:eastAsia="zh-CN"/>
        </w:rPr>
        <w:t>4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年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val="en-US" w:eastAsia="zh-CN"/>
        </w:rPr>
        <w:t>7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月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val="en-US" w:eastAsia="zh-CN"/>
        </w:rPr>
        <w:t>25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日</w:t>
      </w:r>
    </w:p>
    <w:p>
      <w:pPr>
        <w:spacing w:after="0" w:line="460" w:lineRule="exact"/>
        <w:ind w:firstLine="480" w:firstLineChars="200"/>
        <w:rPr>
          <w:rFonts w:ascii="仿宋" w:hAnsi="仿宋" w:eastAsia="仿宋" w:cs="仿宋"/>
          <w:bCs/>
          <w:color w:val="auto"/>
          <w:sz w:val="24"/>
          <w:szCs w:val="24"/>
          <w:highlight w:val="none"/>
          <w:lang w:eastAsia="zh-CN"/>
        </w:rPr>
      </w:pPr>
      <w:r>
        <w:rPr>
          <w:rFonts w:hint="eastAsia" w:ascii="仿宋" w:hAnsi="仿宋" w:eastAsia="仿宋" w:cs="仿宋"/>
          <w:bCs/>
          <w:color w:val="auto"/>
          <w:sz w:val="24"/>
          <w:szCs w:val="24"/>
          <w:highlight w:val="none"/>
          <w:lang w:eastAsia="zh-CN"/>
        </w:rPr>
        <w:t>（三）审核流程：投标人报名→招标人资格预审(必要时，需对未与招标人建立合作关系的投标人进行现场审查)。</w:t>
      </w:r>
    </w:p>
    <w:p>
      <w:pPr>
        <w:pStyle w:val="30"/>
        <w:widowControl/>
        <w:shd w:val="clear" w:color="auto" w:fill="FFFFFF"/>
        <w:spacing w:line="460" w:lineRule="exact"/>
        <w:ind w:firstLine="480" w:firstLineChars="200"/>
        <w:rPr>
          <w:rFonts w:ascii="仿宋" w:hAnsi="仿宋" w:eastAsia="仿宋" w:cs="仿宋"/>
          <w:bCs/>
          <w:color w:val="auto"/>
        </w:rPr>
      </w:pPr>
      <w:r>
        <w:rPr>
          <w:rFonts w:hint="eastAsia" w:ascii="仿宋" w:hAnsi="仿宋" w:eastAsia="仿宋" w:cs="仿宋"/>
          <w:bCs/>
          <w:color w:val="auto"/>
        </w:rPr>
        <w:t>五、投标保证金</w:t>
      </w:r>
    </w:p>
    <w:p>
      <w:pPr>
        <w:pStyle w:val="30"/>
        <w:widowControl/>
        <w:shd w:val="clear" w:color="auto" w:fill="FFFFFF"/>
        <w:spacing w:line="460" w:lineRule="exact"/>
        <w:ind w:firstLine="480" w:firstLineChars="200"/>
        <w:rPr>
          <w:rFonts w:hint="eastAsia" w:ascii="仿宋" w:hAnsi="仿宋" w:eastAsia="仿宋" w:cs="仿宋"/>
          <w:bCs/>
          <w:color w:val="auto"/>
          <w:lang w:val="en-US" w:eastAsia="zh-CN"/>
        </w:rPr>
      </w:pPr>
      <w:r>
        <w:rPr>
          <w:rFonts w:hint="eastAsia" w:ascii="仿宋" w:hAnsi="仿宋" w:eastAsia="仿宋" w:cs="仿宋"/>
          <w:bCs/>
          <w:color w:val="auto"/>
        </w:rPr>
        <w:t>（一）</w:t>
      </w:r>
      <w:bookmarkStart w:id="3" w:name="_Hlk35841458"/>
      <w:bookmarkStart w:id="4" w:name="_Hlk35875301"/>
      <w:r>
        <w:rPr>
          <w:rFonts w:hint="eastAsia" w:ascii="仿宋" w:hAnsi="仿宋" w:eastAsia="仿宋" w:cs="仿宋"/>
          <w:bCs/>
          <w:color w:val="auto"/>
        </w:rPr>
        <w:t>保证金缴纳：本项目</w:t>
      </w:r>
      <w:r>
        <w:rPr>
          <w:rFonts w:hint="eastAsia" w:ascii="仿宋" w:hAnsi="仿宋" w:eastAsia="仿宋" w:cs="仿宋"/>
          <w:bCs/>
          <w:color w:val="auto"/>
          <w:lang w:val="en-US" w:eastAsia="zh-CN"/>
        </w:rPr>
        <w:t>各标段</w:t>
      </w:r>
      <w:r>
        <w:rPr>
          <w:rFonts w:hint="eastAsia" w:ascii="仿宋" w:hAnsi="仿宋" w:eastAsia="仿宋" w:cs="仿宋"/>
          <w:bCs/>
          <w:color w:val="auto"/>
        </w:rPr>
        <w:t>投标保证金</w:t>
      </w:r>
      <w:r>
        <w:rPr>
          <w:rFonts w:hint="eastAsia" w:ascii="仿宋" w:hAnsi="仿宋" w:eastAsia="仿宋" w:cs="仿宋"/>
          <w:bCs/>
          <w:color w:val="auto"/>
          <w:lang w:eastAsia="zh-CN"/>
        </w:rPr>
        <w:t>（</w:t>
      </w:r>
      <w:r>
        <w:rPr>
          <w:rFonts w:hint="eastAsia" w:ascii="仿宋" w:hAnsi="仿宋" w:eastAsia="仿宋" w:cs="仿宋"/>
          <w:bCs/>
          <w:color w:val="auto"/>
          <w:lang w:val="en-US" w:eastAsia="zh-CN"/>
        </w:rPr>
        <w:t>以人民币计）分别</w:t>
      </w:r>
      <w:r>
        <w:rPr>
          <w:rFonts w:hint="eastAsia" w:ascii="仿宋" w:hAnsi="仿宋" w:eastAsia="仿宋" w:cs="仿宋"/>
          <w:bCs/>
          <w:color w:val="auto"/>
        </w:rPr>
        <w:t>为</w:t>
      </w:r>
      <w:r>
        <w:rPr>
          <w:rFonts w:hint="eastAsia" w:ascii="仿宋" w:hAnsi="仿宋" w:eastAsia="仿宋" w:cs="仿宋"/>
          <w:bCs/>
          <w:color w:val="auto"/>
          <w:lang w:eastAsia="zh-CN"/>
        </w:rPr>
        <w:t>：</w:t>
      </w:r>
      <w:r>
        <w:rPr>
          <w:rFonts w:hint="eastAsia" w:ascii="仿宋" w:hAnsi="仿宋" w:eastAsia="仿宋" w:cs="仿宋"/>
          <w:bCs/>
          <w:color w:val="auto"/>
          <w:lang w:val="en-US" w:eastAsia="zh-CN"/>
        </w:rPr>
        <w:t>标段一壹</w:t>
      </w:r>
      <w:r>
        <w:rPr>
          <w:rFonts w:hint="eastAsia" w:ascii="仿宋" w:hAnsi="仿宋" w:eastAsia="仿宋" w:cs="仿宋"/>
          <w:bCs/>
          <w:color w:val="auto"/>
        </w:rPr>
        <w:t>拾万元整</w:t>
      </w:r>
      <w:r>
        <w:rPr>
          <w:rFonts w:hint="eastAsia" w:ascii="仿宋" w:hAnsi="仿宋" w:eastAsia="仿宋" w:cs="仿宋"/>
          <w:bCs/>
          <w:color w:val="auto"/>
          <w:lang w:eastAsia="zh-CN"/>
        </w:rPr>
        <w:t>、</w:t>
      </w:r>
      <w:r>
        <w:rPr>
          <w:rFonts w:hint="eastAsia" w:ascii="仿宋" w:hAnsi="仿宋" w:eastAsia="仿宋" w:cs="仿宋"/>
          <w:bCs/>
          <w:color w:val="auto"/>
          <w:lang w:val="en-US" w:eastAsia="zh-CN"/>
        </w:rPr>
        <w:t>标段二叁拾万元整、标段三壹拾万元整</w:t>
      </w:r>
      <w:r>
        <w:rPr>
          <w:rFonts w:hint="eastAsia" w:ascii="仿宋" w:hAnsi="仿宋" w:eastAsia="仿宋" w:cs="仿宋"/>
          <w:bCs/>
          <w:color w:val="auto"/>
        </w:rPr>
        <w:t>。投标人报名成功且资格审查通过后，于202</w:t>
      </w:r>
      <w:r>
        <w:rPr>
          <w:rFonts w:hint="eastAsia" w:ascii="仿宋" w:hAnsi="仿宋" w:eastAsia="仿宋" w:cs="仿宋"/>
          <w:bCs/>
          <w:color w:val="auto"/>
          <w:lang w:val="en-US" w:eastAsia="zh-CN"/>
        </w:rPr>
        <w:t>4</w:t>
      </w:r>
      <w:r>
        <w:rPr>
          <w:rFonts w:hint="eastAsia" w:ascii="仿宋" w:hAnsi="仿宋" w:eastAsia="仿宋" w:cs="仿宋"/>
          <w:bCs/>
          <w:color w:val="auto"/>
        </w:rPr>
        <w:t>年</w:t>
      </w:r>
      <w:r>
        <w:rPr>
          <w:rFonts w:hint="eastAsia" w:ascii="仿宋" w:hAnsi="仿宋" w:eastAsia="仿宋" w:cs="仿宋"/>
          <w:bCs/>
          <w:color w:val="auto"/>
          <w:lang w:val="en-US" w:eastAsia="zh-CN"/>
        </w:rPr>
        <w:t>7</w:t>
      </w:r>
      <w:r>
        <w:rPr>
          <w:rFonts w:hint="eastAsia" w:ascii="仿宋" w:hAnsi="仿宋" w:eastAsia="仿宋" w:cs="仿宋"/>
          <w:bCs/>
          <w:color w:val="auto"/>
        </w:rPr>
        <w:t>月</w:t>
      </w:r>
      <w:r>
        <w:rPr>
          <w:rFonts w:hint="eastAsia" w:ascii="仿宋" w:hAnsi="仿宋" w:eastAsia="仿宋" w:cs="仿宋"/>
          <w:bCs/>
          <w:color w:val="auto"/>
          <w:lang w:val="en-US" w:eastAsia="zh-CN"/>
        </w:rPr>
        <w:t>26</w:t>
      </w:r>
      <w:r>
        <w:rPr>
          <w:rFonts w:hint="eastAsia" w:ascii="仿宋" w:hAnsi="仿宋" w:eastAsia="仿宋" w:cs="仿宋"/>
          <w:bCs/>
          <w:color w:val="auto"/>
        </w:rPr>
        <w:t>日17:30前(以到账时间为准)，</w:t>
      </w:r>
      <w:r>
        <w:rPr>
          <w:rFonts w:hint="eastAsia" w:ascii="仿宋" w:hAnsi="仿宋" w:eastAsia="仿宋" w:cs="仿宋"/>
          <w:bCs/>
          <w:color w:val="auto"/>
          <w:lang w:val="en-US" w:eastAsia="zh-CN"/>
        </w:rPr>
        <w:t>从</w:t>
      </w:r>
      <w:r>
        <w:rPr>
          <w:rFonts w:hint="eastAsia" w:ascii="仿宋" w:hAnsi="仿宋" w:eastAsia="仿宋" w:cs="仿宋"/>
          <w:bCs/>
          <w:color w:val="auto"/>
          <w:lang w:eastAsia="zh-CN"/>
        </w:rPr>
        <w:t>投标人的基本账户</w:t>
      </w:r>
      <w:r>
        <w:rPr>
          <w:rFonts w:hint="eastAsia" w:ascii="仿宋" w:hAnsi="仿宋" w:eastAsia="仿宋" w:cs="仿宋"/>
          <w:bCs/>
          <w:color w:val="auto"/>
        </w:rPr>
        <w:t>以银行转账方式缴纳至招标人指定账户(即：四川沱牌贸易有限公司，开户银行及账号：中国建设银行股份有限公司射洪支行，51050167710800000028)。</w:t>
      </w:r>
      <w:bookmarkEnd w:id="3"/>
      <w:r>
        <w:rPr>
          <w:rFonts w:hint="eastAsia" w:ascii="仿宋" w:hAnsi="仿宋" w:eastAsia="仿宋" w:cs="仿宋"/>
          <w:bCs/>
          <w:color w:val="auto"/>
          <w:lang w:val="en-US" w:eastAsia="zh-CN"/>
        </w:rPr>
        <w:t>投标保证金缴纳后登陆舍得酒业招采数字化平台（网址：https://ssrm.shede.com.cn）点击页面顶部“一链网”，在截止时间【</w:t>
      </w:r>
      <w:r>
        <w:rPr>
          <w:rFonts w:hint="eastAsia" w:ascii="仿宋" w:hAnsi="仿宋" w:eastAsia="仿宋" w:cs="仿宋"/>
          <w:bCs/>
          <w:color w:val="auto"/>
        </w:rPr>
        <w:t>202</w:t>
      </w:r>
      <w:r>
        <w:rPr>
          <w:rFonts w:hint="eastAsia" w:ascii="仿宋" w:hAnsi="仿宋" w:eastAsia="仿宋" w:cs="仿宋"/>
          <w:bCs/>
          <w:color w:val="auto"/>
          <w:lang w:val="en-US" w:eastAsia="zh-CN"/>
        </w:rPr>
        <w:t>4</w:t>
      </w:r>
      <w:r>
        <w:rPr>
          <w:rFonts w:hint="eastAsia" w:ascii="仿宋" w:hAnsi="仿宋" w:eastAsia="仿宋" w:cs="仿宋"/>
          <w:bCs/>
          <w:color w:val="auto"/>
        </w:rPr>
        <w:t>年</w:t>
      </w:r>
      <w:r>
        <w:rPr>
          <w:rFonts w:hint="eastAsia" w:ascii="仿宋" w:hAnsi="仿宋" w:eastAsia="仿宋" w:cs="仿宋"/>
          <w:bCs/>
          <w:color w:val="auto"/>
          <w:lang w:val="en-US" w:eastAsia="zh-CN"/>
        </w:rPr>
        <w:t>7</w:t>
      </w:r>
      <w:r>
        <w:rPr>
          <w:rFonts w:hint="eastAsia" w:ascii="仿宋" w:hAnsi="仿宋" w:eastAsia="仿宋" w:cs="仿宋"/>
          <w:bCs/>
          <w:color w:val="auto"/>
        </w:rPr>
        <w:t>月</w:t>
      </w:r>
      <w:r>
        <w:rPr>
          <w:rFonts w:hint="eastAsia" w:ascii="仿宋" w:hAnsi="仿宋" w:eastAsia="仿宋" w:cs="仿宋"/>
          <w:bCs/>
          <w:color w:val="auto"/>
          <w:lang w:val="en-US" w:eastAsia="zh-CN"/>
        </w:rPr>
        <w:t>26</w:t>
      </w:r>
      <w:r>
        <w:rPr>
          <w:rFonts w:hint="eastAsia" w:ascii="仿宋" w:hAnsi="仿宋" w:eastAsia="仿宋" w:cs="仿宋"/>
          <w:bCs/>
          <w:color w:val="auto"/>
        </w:rPr>
        <w:t>日17:30前</w:t>
      </w:r>
      <w:r>
        <w:rPr>
          <w:rFonts w:hint="eastAsia" w:ascii="仿宋" w:hAnsi="仿宋" w:eastAsia="仿宋" w:cs="仿宋"/>
          <w:bCs/>
          <w:color w:val="auto"/>
          <w:lang w:eastAsia="zh-CN"/>
        </w:rPr>
        <w:t>】</w:t>
      </w:r>
      <w:r>
        <w:rPr>
          <w:rFonts w:hint="eastAsia" w:ascii="仿宋" w:hAnsi="仿宋" w:eastAsia="仿宋" w:cs="仿宋"/>
          <w:bCs/>
          <w:color w:val="auto"/>
          <w:lang w:val="en-US" w:eastAsia="zh-CN"/>
        </w:rPr>
        <w:t>前上传转账凭证，转账凭证需备注“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T68·沱牌特级480mL×6（手提箱·2024版）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val="en-US" w:eastAsia="zh-CN"/>
        </w:rPr>
        <w:t>酒箱/酒瓶/瓶盖</w:t>
      </w:r>
      <w:r>
        <w:rPr>
          <w:rFonts w:hint="eastAsia" w:ascii="仿宋" w:hAnsi="仿宋" w:eastAsia="仿宋" w:cs="仿宋"/>
          <w:bCs/>
          <w:color w:val="auto"/>
          <w:lang w:val="en-US" w:eastAsia="zh-CN"/>
        </w:rPr>
        <w:t>招标</w:t>
      </w:r>
      <w:r>
        <w:rPr>
          <w:rFonts w:hint="eastAsia" w:ascii="仿宋" w:hAnsi="仿宋" w:eastAsia="仿宋" w:cs="仿宋"/>
          <w:bCs/>
          <w:color w:val="auto"/>
          <w:lang w:eastAsia="zh-CN"/>
        </w:rPr>
        <w:t>ZC1-</w:t>
      </w:r>
      <w:r>
        <w:rPr>
          <w:rFonts w:hint="eastAsia" w:ascii="仿宋" w:hAnsi="仿宋" w:eastAsia="仿宋" w:cs="仿宋"/>
          <w:bCs/>
          <w:color w:val="auto"/>
          <w:highlight w:val="none"/>
          <w:lang w:eastAsia="zh-CN"/>
        </w:rPr>
        <w:t>0</w:t>
      </w:r>
      <w:r>
        <w:rPr>
          <w:rFonts w:hint="eastAsia" w:ascii="仿宋" w:hAnsi="仿宋" w:eastAsia="仿宋" w:cs="仿宋"/>
          <w:bCs/>
          <w:color w:val="auto"/>
          <w:highlight w:val="none"/>
          <w:lang w:val="en-US" w:eastAsia="zh-CN"/>
        </w:rPr>
        <w:t>07</w:t>
      </w:r>
      <w:r>
        <w:rPr>
          <w:rFonts w:hint="eastAsia" w:ascii="仿宋" w:hAnsi="仿宋" w:eastAsia="仿宋" w:cs="仿宋"/>
          <w:bCs/>
          <w:color w:val="auto"/>
          <w:highlight w:val="none"/>
          <w:lang w:eastAsia="zh-CN"/>
        </w:rPr>
        <w:t>号</w:t>
      </w:r>
      <w:r>
        <w:rPr>
          <w:rFonts w:hint="eastAsia" w:ascii="仿宋" w:hAnsi="仿宋" w:eastAsia="仿宋" w:cs="仿宋"/>
          <w:bCs/>
          <w:color w:val="auto"/>
          <w:lang w:val="en-US" w:eastAsia="zh-CN"/>
        </w:rPr>
        <w:t>-投标保证金</w:t>
      </w:r>
      <w:r>
        <w:rPr>
          <w:rFonts w:hint="eastAsia" w:ascii="仿宋" w:hAnsi="仿宋" w:eastAsia="仿宋" w:cs="仿宋"/>
          <w:bCs/>
          <w:color w:val="auto"/>
        </w:rPr>
        <w:t>-XXX”，其中“XXX”为投标单位全称</w:t>
      </w:r>
      <w:r>
        <w:rPr>
          <w:rFonts w:hint="eastAsia" w:ascii="仿宋" w:hAnsi="仿宋" w:eastAsia="仿宋" w:cs="仿宋"/>
          <w:bCs/>
          <w:color w:val="auto"/>
          <w:lang w:val="en-US" w:eastAsia="zh-CN"/>
        </w:rPr>
        <w:t>。 </w:t>
      </w:r>
    </w:p>
    <w:p>
      <w:pPr>
        <w:pStyle w:val="30"/>
        <w:widowControl/>
        <w:shd w:val="clear" w:color="auto" w:fill="FFFFFF"/>
        <w:spacing w:line="460" w:lineRule="exact"/>
        <w:ind w:firstLine="480" w:firstLineChars="200"/>
        <w:rPr>
          <w:rFonts w:ascii="仿宋" w:hAnsi="仿宋" w:eastAsia="仿宋" w:cs="仿宋"/>
          <w:bCs/>
          <w:color w:val="auto"/>
        </w:rPr>
      </w:pPr>
      <w:r>
        <w:rPr>
          <w:rFonts w:hint="eastAsia" w:ascii="仿宋" w:hAnsi="仿宋" w:eastAsia="仿宋" w:cs="仿宋"/>
          <w:bCs/>
          <w:color w:val="auto"/>
        </w:rPr>
        <w:t>若投标人在招标人财务账上有足额应付货款的，可出具转款委托从应付货款中扣除以作为投标保证金</w:t>
      </w:r>
      <w:r>
        <w:rPr>
          <w:rFonts w:hint="eastAsia" w:ascii="仿宋" w:hAnsi="仿宋" w:eastAsia="仿宋" w:cs="仿宋"/>
          <w:bCs/>
          <w:color w:val="auto"/>
          <w:lang w:eastAsia="zh-CN"/>
        </w:rPr>
        <w:t>，</w:t>
      </w:r>
      <w:r>
        <w:rPr>
          <w:rFonts w:hint="eastAsia" w:ascii="仿宋" w:hAnsi="仿宋" w:eastAsia="仿宋" w:cs="仿宋"/>
          <w:bCs/>
          <w:color w:val="auto"/>
          <w:lang w:val="en-US" w:eastAsia="zh-CN"/>
        </w:rPr>
        <w:t>登陆舍得酒业招采数字化平台（网址：https://ssrm.shede.com.cn）点击页面顶部“一链网”，在截止时间【</w:t>
      </w:r>
      <w:r>
        <w:rPr>
          <w:rFonts w:hint="eastAsia" w:ascii="仿宋" w:hAnsi="仿宋" w:eastAsia="仿宋" w:cs="仿宋"/>
          <w:bCs/>
          <w:color w:val="auto"/>
        </w:rPr>
        <w:t>202</w:t>
      </w:r>
      <w:r>
        <w:rPr>
          <w:rFonts w:hint="eastAsia" w:ascii="仿宋" w:hAnsi="仿宋" w:eastAsia="仿宋" w:cs="仿宋"/>
          <w:bCs/>
          <w:color w:val="auto"/>
          <w:lang w:val="en-US" w:eastAsia="zh-CN"/>
        </w:rPr>
        <w:t>4</w:t>
      </w:r>
      <w:r>
        <w:rPr>
          <w:rFonts w:hint="eastAsia" w:ascii="仿宋" w:hAnsi="仿宋" w:eastAsia="仿宋" w:cs="仿宋"/>
          <w:bCs/>
          <w:color w:val="auto"/>
        </w:rPr>
        <w:t>年</w:t>
      </w:r>
      <w:r>
        <w:rPr>
          <w:rFonts w:hint="eastAsia" w:ascii="仿宋" w:hAnsi="仿宋" w:eastAsia="仿宋" w:cs="仿宋"/>
          <w:bCs/>
          <w:color w:val="auto"/>
          <w:lang w:val="en-US" w:eastAsia="zh-CN"/>
        </w:rPr>
        <w:t>7</w:t>
      </w:r>
      <w:r>
        <w:rPr>
          <w:rFonts w:hint="eastAsia" w:ascii="仿宋" w:hAnsi="仿宋" w:eastAsia="仿宋" w:cs="仿宋"/>
          <w:bCs/>
          <w:color w:val="auto"/>
        </w:rPr>
        <w:t>月</w:t>
      </w:r>
      <w:r>
        <w:rPr>
          <w:rFonts w:hint="eastAsia" w:ascii="仿宋" w:hAnsi="仿宋" w:eastAsia="仿宋" w:cs="仿宋"/>
          <w:bCs/>
          <w:color w:val="auto"/>
          <w:lang w:val="en-US" w:eastAsia="zh-CN"/>
        </w:rPr>
        <w:t>26</w:t>
      </w:r>
      <w:r>
        <w:rPr>
          <w:rFonts w:hint="eastAsia" w:ascii="仿宋" w:hAnsi="仿宋" w:eastAsia="仿宋" w:cs="仿宋"/>
          <w:bCs/>
          <w:color w:val="auto"/>
        </w:rPr>
        <w:t>日17:30前</w:t>
      </w:r>
      <w:r>
        <w:rPr>
          <w:rFonts w:hint="eastAsia" w:ascii="仿宋" w:hAnsi="仿宋" w:eastAsia="仿宋" w:cs="仿宋"/>
          <w:bCs/>
          <w:color w:val="auto"/>
          <w:lang w:eastAsia="zh-CN"/>
        </w:rPr>
        <w:t>】</w:t>
      </w:r>
      <w:r>
        <w:rPr>
          <w:rFonts w:hint="eastAsia" w:ascii="仿宋" w:hAnsi="仿宋" w:eastAsia="仿宋" w:cs="仿宋"/>
          <w:bCs/>
          <w:color w:val="auto"/>
          <w:lang w:val="en-US" w:eastAsia="zh-CN"/>
        </w:rPr>
        <w:t>前上传盖投标人鲜章转款委托扫描件</w:t>
      </w:r>
      <w:r>
        <w:rPr>
          <w:rFonts w:hint="eastAsia" w:ascii="仿宋" w:hAnsi="仿宋" w:eastAsia="仿宋" w:cs="仿宋"/>
          <w:bCs/>
          <w:color w:val="auto"/>
        </w:rPr>
        <w:t>。</w:t>
      </w:r>
      <w:bookmarkEnd w:id="4"/>
    </w:p>
    <w:p>
      <w:pPr>
        <w:pStyle w:val="30"/>
        <w:widowControl/>
        <w:shd w:val="clear" w:color="auto" w:fill="FFFFFF"/>
        <w:spacing w:line="460" w:lineRule="exact"/>
        <w:ind w:firstLine="480" w:firstLineChars="200"/>
        <w:rPr>
          <w:rFonts w:ascii="仿宋" w:hAnsi="仿宋" w:eastAsia="仿宋" w:cs="仿宋"/>
          <w:bCs/>
          <w:color w:val="auto"/>
        </w:rPr>
      </w:pPr>
      <w:r>
        <w:rPr>
          <w:rFonts w:hint="eastAsia" w:ascii="仿宋" w:hAnsi="仿宋" w:eastAsia="仿宋" w:cs="仿宋"/>
          <w:bCs/>
          <w:color w:val="auto"/>
        </w:rPr>
        <w:t>（二）保证金退还：若未中标，在招标人确定中标人后30个工作日内一次性全额无息退还该投标保证金；中标的，则投标保证金自动转为合同履约保证金，首单供货并开具增值税发票入账后，退还合同履约保证金，实行质押金制度。</w:t>
      </w:r>
    </w:p>
    <w:p>
      <w:pPr>
        <w:spacing w:after="0" w:line="460" w:lineRule="exact"/>
        <w:ind w:firstLine="480" w:firstLineChars="200"/>
        <w:rPr>
          <w:rFonts w:ascii="仿宋" w:hAnsi="仿宋" w:eastAsia="仿宋" w:cs="仿宋"/>
          <w:bCs/>
          <w:color w:val="auto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（三）保证金其它处理：若投标人有串标、围标、提供虚假证明材料或中标后拒签合同等投标违规、违法行为，投标保证金按照有关法律规定不予退还。</w:t>
      </w:r>
    </w:p>
    <w:p>
      <w:pPr>
        <w:spacing w:after="0" w:line="460" w:lineRule="exact"/>
        <w:ind w:firstLine="470" w:firstLineChars="196"/>
        <w:rPr>
          <w:rFonts w:ascii="仿宋" w:hAnsi="仿宋" w:eastAsia="仿宋" w:cs="仿宋"/>
          <w:bCs/>
          <w:color w:val="auto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六、招标文件</w:t>
      </w:r>
    </w:p>
    <w:p>
      <w:pPr>
        <w:spacing w:after="0" w:line="460" w:lineRule="exact"/>
        <w:ind w:firstLine="480" w:firstLineChars="200"/>
        <w:rPr>
          <w:rFonts w:ascii="仿宋" w:hAnsi="仿宋" w:eastAsia="仿宋" w:cs="仿宋"/>
          <w:color w:val="auto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（一）发放时间：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val="en-US" w:eastAsia="zh-CN" w:bidi="ar-SA"/>
        </w:rPr>
        <w:t>2024年7月26日；上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午8:30-11：30，下午14：00-1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val="en-US" w:eastAsia="zh-CN"/>
        </w:rPr>
        <w:t>8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: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val="en-US" w:eastAsia="zh-CN"/>
        </w:rPr>
        <w:t>0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0(节假日除外，北京时间，下同)。</w:t>
      </w:r>
    </w:p>
    <w:p>
      <w:pPr>
        <w:spacing w:after="0" w:line="460" w:lineRule="exact"/>
        <w:ind w:firstLine="480" w:firstLineChars="200"/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（二）获取方式：在招标人规定时间内报名成功，通过资格审查，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val="en-US" w:eastAsia="zh-CN"/>
        </w:rPr>
        <w:t>并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在规定时间内缴纳投标保证金的投标人，登陆舍得酒业招采数字化平台（网址: https://ssrm.shede.com.cn），点击页面顶部的“一链网”获取招标文件。</w:t>
      </w:r>
    </w:p>
    <w:p>
      <w:pPr>
        <w:pStyle w:val="31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50" w:beforeAutospacing="0" w:after="0" w:afterAutospacing="0" w:line="360" w:lineRule="auto"/>
        <w:ind w:left="0" w:right="0" w:firstLine="320"/>
        <w:textAlignment w:val="auto"/>
        <w:rPr>
          <w:rFonts w:ascii="仿宋" w:hAnsi="仿宋" w:eastAsia="仿宋" w:cs="仿宋"/>
          <w:bCs/>
          <w:color w:val="auto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（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val="en-US" w:eastAsia="zh-CN"/>
        </w:rPr>
        <w:t>三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）实物样获取：投标人需到招标人现场领取实物样，领取时出具授权委托书原件、受托人身份证原件和复印件。若投标人无法到招标人现场领取实物样的，则由投标人书面委托招标人邮寄实物样。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val="en-US" w:eastAsia="zh-CN"/>
        </w:rPr>
        <w:t>两种领取实物样方式均需</w:t>
      </w:r>
      <w:r>
        <w:rPr>
          <w:rFonts w:hint="eastAsia" w:ascii="仿宋" w:hAnsi="仿宋" w:eastAsia="仿宋" w:cs="仿宋"/>
          <w:bCs/>
          <w:kern w:val="0"/>
          <w:sz w:val="24"/>
          <w:szCs w:val="24"/>
          <w:lang w:val="en-US" w:eastAsia="zh-CN" w:bidi="en-US"/>
        </w:rPr>
        <w:t>登陆舍得酒业招采数字化平台（网址: https://ssrm.shede.com.cn），点击页面顶部的“一链网”上传样品现场领取/邮寄委托书。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 xml:space="preserve"> </w:t>
      </w:r>
    </w:p>
    <w:p>
      <w:pPr>
        <w:spacing w:after="0" w:line="460" w:lineRule="exact"/>
        <w:ind w:firstLine="470" w:firstLineChars="196"/>
        <w:rPr>
          <w:rFonts w:ascii="仿宋" w:hAnsi="仿宋" w:eastAsia="仿宋" w:cs="仿宋"/>
          <w:bCs/>
          <w:color w:val="auto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七、投标书的组成及递交</w:t>
      </w:r>
    </w:p>
    <w:p>
      <w:pPr>
        <w:spacing w:after="0" w:line="460" w:lineRule="exact"/>
        <w:ind w:firstLine="480" w:firstLineChars="200"/>
        <w:rPr>
          <w:rFonts w:ascii="仿宋" w:hAnsi="仿宋" w:eastAsia="仿宋" w:cs="仿宋"/>
          <w:bCs/>
          <w:color w:val="auto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（一）投标书的组成及要求：详见招标文件。</w:t>
      </w:r>
    </w:p>
    <w:p>
      <w:pPr>
        <w:spacing w:after="0" w:line="460" w:lineRule="exact"/>
        <w:ind w:firstLine="480" w:firstLineChars="200"/>
        <w:rPr>
          <w:rFonts w:ascii="仿宋" w:hAnsi="仿宋" w:eastAsia="仿宋" w:cs="仿宋"/>
          <w:bCs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（二）投标书及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val="en-US" w:eastAsia="zh-CN"/>
        </w:rPr>
        <w:t>投标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样品递交截止日期，</w:t>
      </w:r>
      <w:r>
        <w:rPr>
          <w:rFonts w:hint="eastAsia" w:ascii="仿宋" w:hAnsi="仿宋" w:eastAsia="仿宋" w:cs="仿宋"/>
          <w:bCs/>
          <w:sz w:val="24"/>
          <w:szCs w:val="24"/>
          <w:lang w:eastAsia="zh-CN"/>
        </w:rPr>
        <w:t>详见下表。</w:t>
      </w:r>
    </w:p>
    <w:tbl>
      <w:tblPr>
        <w:tblStyle w:val="34"/>
        <w:tblW w:w="0" w:type="auto"/>
        <w:tblInd w:w="56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18"/>
        <w:gridCol w:w="1560"/>
        <w:gridCol w:w="3226"/>
        <w:gridCol w:w="115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18" w:type="dxa"/>
            <w:vAlign w:val="center"/>
          </w:tcPr>
          <w:p>
            <w:pPr>
              <w:widowControl w:val="0"/>
              <w:spacing w:after="0" w:line="460" w:lineRule="exact"/>
              <w:ind w:left="0" w:leftChars="0"/>
              <w:jc w:val="center"/>
              <w:rPr>
                <w:rFonts w:ascii="仿宋" w:hAnsi="仿宋" w:eastAsia="仿宋" w:cs="仿宋"/>
                <w:b/>
                <w:bCs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b/>
                <w:bCs w:val="0"/>
                <w:sz w:val="21"/>
                <w:szCs w:val="21"/>
                <w:lang w:eastAsia="zh-CN"/>
              </w:rPr>
              <w:t>标段</w:t>
            </w:r>
          </w:p>
        </w:tc>
        <w:tc>
          <w:tcPr>
            <w:tcW w:w="1560" w:type="dxa"/>
            <w:vAlign w:val="center"/>
          </w:tcPr>
          <w:p>
            <w:pPr>
              <w:widowControl w:val="0"/>
              <w:spacing w:after="0" w:line="460" w:lineRule="exact"/>
              <w:ind w:left="0" w:leftChars="0"/>
              <w:jc w:val="center"/>
              <w:rPr>
                <w:rFonts w:ascii="仿宋" w:hAnsi="仿宋" w:eastAsia="仿宋" w:cs="仿宋"/>
                <w:b/>
                <w:bCs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b/>
                <w:bCs w:val="0"/>
                <w:sz w:val="21"/>
                <w:szCs w:val="21"/>
                <w:lang w:eastAsia="zh-CN"/>
              </w:rPr>
              <w:t>标的</w:t>
            </w:r>
            <w:r>
              <w:rPr>
                <w:rFonts w:hint="eastAsia" w:ascii="仿宋" w:hAnsi="仿宋" w:eastAsia="仿宋" w:cs="仿宋"/>
                <w:b/>
                <w:bCs w:val="0"/>
                <w:sz w:val="21"/>
                <w:szCs w:val="21"/>
              </w:rPr>
              <w:t>类别</w:t>
            </w:r>
          </w:p>
        </w:tc>
        <w:tc>
          <w:tcPr>
            <w:tcW w:w="322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exact"/>
              <w:ind w:left="0" w:leftChars="0"/>
              <w:jc w:val="center"/>
              <w:textAlignment w:val="auto"/>
              <w:rPr>
                <w:rFonts w:ascii="仿宋" w:hAnsi="仿宋" w:eastAsia="仿宋" w:cs="仿宋"/>
                <w:b/>
                <w:bCs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b/>
                <w:bCs w:val="0"/>
                <w:sz w:val="21"/>
                <w:szCs w:val="21"/>
                <w:lang w:eastAsia="zh-CN"/>
              </w:rPr>
              <w:t>投标</w:t>
            </w:r>
            <w:r>
              <w:rPr>
                <w:rFonts w:hint="eastAsia" w:ascii="仿宋" w:hAnsi="仿宋" w:eastAsia="仿宋" w:cs="仿宋"/>
                <w:b/>
                <w:bCs w:val="0"/>
                <w:sz w:val="21"/>
                <w:szCs w:val="21"/>
                <w:lang w:val="en-US" w:eastAsia="zh-CN"/>
              </w:rPr>
              <w:t>书及投标</w:t>
            </w:r>
            <w:r>
              <w:rPr>
                <w:rFonts w:hint="eastAsia" w:ascii="仿宋" w:hAnsi="仿宋" w:eastAsia="仿宋" w:cs="仿宋"/>
                <w:b/>
                <w:bCs w:val="0"/>
                <w:sz w:val="21"/>
                <w:szCs w:val="21"/>
              </w:rPr>
              <w:t>样品递交</w:t>
            </w:r>
            <w:r>
              <w:rPr>
                <w:rFonts w:hint="eastAsia" w:ascii="仿宋" w:hAnsi="仿宋" w:eastAsia="仿宋" w:cs="仿宋"/>
                <w:b/>
                <w:bCs w:val="0"/>
                <w:sz w:val="21"/>
                <w:szCs w:val="21"/>
                <w:lang w:val="en-US" w:eastAsia="zh-CN"/>
              </w:rPr>
              <w:t>截止</w:t>
            </w:r>
            <w:r>
              <w:rPr>
                <w:rFonts w:hint="eastAsia" w:ascii="仿宋" w:hAnsi="仿宋" w:eastAsia="仿宋" w:cs="仿宋"/>
                <w:b/>
                <w:bCs w:val="0"/>
                <w:sz w:val="21"/>
                <w:szCs w:val="21"/>
              </w:rPr>
              <w:t>时间</w:t>
            </w:r>
          </w:p>
        </w:tc>
        <w:tc>
          <w:tcPr>
            <w:tcW w:w="1156" w:type="dxa"/>
            <w:vAlign w:val="center"/>
          </w:tcPr>
          <w:p>
            <w:pPr>
              <w:widowControl w:val="0"/>
              <w:spacing w:after="0" w:line="460" w:lineRule="exact"/>
              <w:ind w:left="0" w:leftChars="0"/>
              <w:jc w:val="center"/>
              <w:rPr>
                <w:rFonts w:ascii="仿宋" w:hAnsi="仿宋" w:eastAsia="仿宋" w:cs="仿宋"/>
                <w:b/>
                <w:bCs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b/>
                <w:bCs w:val="0"/>
                <w:sz w:val="21"/>
                <w:szCs w:val="21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5" w:hRule="atLeast"/>
        </w:trPr>
        <w:tc>
          <w:tcPr>
            <w:tcW w:w="2018" w:type="dxa"/>
            <w:vAlign w:val="center"/>
          </w:tcPr>
          <w:p>
            <w:pPr>
              <w:widowControl w:val="0"/>
              <w:spacing w:after="0" w:line="460" w:lineRule="exact"/>
              <w:jc w:val="center"/>
              <w:rPr>
                <w:rFonts w:ascii="仿宋" w:hAnsi="仿宋" w:eastAsia="仿宋" w:cs="仿宋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bCs/>
                <w:sz w:val="21"/>
                <w:szCs w:val="21"/>
                <w:lang w:eastAsia="zh-CN"/>
              </w:rPr>
              <w:t>标段一</w:t>
            </w:r>
          </w:p>
        </w:tc>
        <w:tc>
          <w:tcPr>
            <w:tcW w:w="1560" w:type="dxa"/>
            <w:vAlign w:val="center"/>
          </w:tcPr>
          <w:p>
            <w:pPr>
              <w:widowControl w:val="0"/>
              <w:spacing w:after="0" w:line="460" w:lineRule="exact"/>
              <w:jc w:val="center"/>
              <w:rPr>
                <w:rFonts w:hint="default" w:ascii="仿宋" w:hAnsi="仿宋" w:eastAsia="仿宋" w:cs="仿宋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sz w:val="21"/>
                <w:szCs w:val="21"/>
                <w:lang w:val="en-US" w:eastAsia="zh-CN"/>
              </w:rPr>
              <w:t>纸包装</w:t>
            </w:r>
          </w:p>
        </w:tc>
        <w:tc>
          <w:tcPr>
            <w:tcW w:w="3226" w:type="dxa"/>
            <w:vAlign w:val="center"/>
          </w:tcPr>
          <w:p>
            <w:pPr>
              <w:widowControl w:val="0"/>
              <w:spacing w:after="0" w:line="460" w:lineRule="exact"/>
              <w:jc w:val="center"/>
              <w:rPr>
                <w:rFonts w:ascii="仿宋" w:hAnsi="仿宋" w:eastAsia="仿宋" w:cs="仿宋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bCs/>
                <w:sz w:val="21"/>
                <w:szCs w:val="21"/>
                <w:lang w:eastAsia="zh-CN"/>
              </w:rPr>
              <w:t>2</w:t>
            </w:r>
            <w:r>
              <w:rPr>
                <w:rFonts w:ascii="仿宋" w:hAnsi="仿宋" w:eastAsia="仿宋" w:cs="仿宋"/>
                <w:bCs/>
                <w:sz w:val="21"/>
                <w:szCs w:val="21"/>
                <w:lang w:eastAsia="zh-CN"/>
              </w:rPr>
              <w:t>02</w:t>
            </w:r>
            <w:r>
              <w:rPr>
                <w:rFonts w:hint="eastAsia" w:ascii="仿宋" w:hAnsi="仿宋" w:eastAsia="仿宋" w:cs="仿宋"/>
                <w:bCs/>
                <w:sz w:val="21"/>
                <w:szCs w:val="21"/>
                <w:lang w:val="en-US" w:eastAsia="zh-CN"/>
              </w:rPr>
              <w:t>4</w:t>
            </w:r>
            <w:r>
              <w:rPr>
                <w:rFonts w:hint="eastAsia" w:ascii="仿宋" w:hAnsi="仿宋" w:eastAsia="仿宋" w:cs="仿宋"/>
                <w:bCs/>
                <w:sz w:val="21"/>
                <w:szCs w:val="21"/>
                <w:lang w:eastAsia="zh-CN"/>
              </w:rPr>
              <w:t>年</w:t>
            </w:r>
            <w:r>
              <w:rPr>
                <w:rFonts w:hint="eastAsia" w:ascii="仿宋" w:hAnsi="仿宋" w:eastAsia="仿宋" w:cs="仿宋"/>
                <w:bCs/>
                <w:sz w:val="21"/>
                <w:szCs w:val="21"/>
                <w:lang w:val="en-US" w:eastAsia="zh-CN"/>
              </w:rPr>
              <w:t>8</w:t>
            </w:r>
            <w:r>
              <w:rPr>
                <w:rFonts w:hint="eastAsia" w:ascii="仿宋" w:hAnsi="仿宋" w:eastAsia="仿宋" w:cs="仿宋"/>
                <w:bCs/>
                <w:sz w:val="21"/>
                <w:szCs w:val="21"/>
                <w:lang w:eastAsia="zh-CN"/>
              </w:rPr>
              <w:t>月</w:t>
            </w:r>
            <w:r>
              <w:rPr>
                <w:rFonts w:hint="eastAsia" w:ascii="仿宋" w:hAnsi="仿宋" w:eastAsia="仿宋" w:cs="仿宋"/>
                <w:bCs/>
                <w:sz w:val="21"/>
                <w:szCs w:val="21"/>
                <w:lang w:val="en-US" w:eastAsia="zh-CN"/>
              </w:rPr>
              <w:t>15</w:t>
            </w:r>
            <w:r>
              <w:rPr>
                <w:rFonts w:hint="eastAsia" w:ascii="仿宋" w:hAnsi="仿宋" w:eastAsia="仿宋" w:cs="仿宋"/>
                <w:bCs/>
                <w:sz w:val="21"/>
                <w:szCs w:val="21"/>
                <w:lang w:eastAsia="zh-CN"/>
              </w:rPr>
              <w:t>日1</w:t>
            </w:r>
            <w:r>
              <w:rPr>
                <w:rFonts w:hint="eastAsia" w:ascii="仿宋" w:hAnsi="仿宋" w:eastAsia="仿宋" w:cs="仿宋"/>
                <w:bCs/>
                <w:sz w:val="21"/>
                <w:szCs w:val="21"/>
                <w:lang w:val="en-US" w:eastAsia="zh-CN"/>
              </w:rPr>
              <w:t>8</w:t>
            </w:r>
            <w:r>
              <w:rPr>
                <w:rFonts w:ascii="仿宋" w:hAnsi="仿宋" w:eastAsia="仿宋" w:cs="仿宋"/>
                <w:bCs/>
                <w:sz w:val="21"/>
                <w:szCs w:val="21"/>
                <w:lang w:eastAsia="zh-CN"/>
              </w:rPr>
              <w:t>:00</w:t>
            </w:r>
            <w:r>
              <w:rPr>
                <w:rFonts w:hint="eastAsia" w:ascii="仿宋" w:hAnsi="仿宋" w:eastAsia="仿宋" w:cs="仿宋"/>
                <w:bCs/>
                <w:sz w:val="21"/>
                <w:szCs w:val="21"/>
                <w:lang w:eastAsia="zh-CN"/>
              </w:rPr>
              <w:t>前</w:t>
            </w:r>
          </w:p>
        </w:tc>
        <w:tc>
          <w:tcPr>
            <w:tcW w:w="1156" w:type="dxa"/>
          </w:tcPr>
          <w:p>
            <w:pPr>
              <w:widowControl w:val="0"/>
              <w:spacing w:after="0" w:line="460" w:lineRule="exact"/>
              <w:jc w:val="center"/>
              <w:rPr>
                <w:rFonts w:ascii="仿宋" w:hAnsi="仿宋" w:eastAsia="仿宋" w:cs="仿宋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5" w:hRule="atLeast"/>
        </w:trPr>
        <w:tc>
          <w:tcPr>
            <w:tcW w:w="2018" w:type="dxa"/>
            <w:vAlign w:val="center"/>
          </w:tcPr>
          <w:p>
            <w:pPr>
              <w:widowControl w:val="0"/>
              <w:spacing w:after="0" w:line="460" w:lineRule="exact"/>
              <w:jc w:val="center"/>
              <w:rPr>
                <w:rFonts w:ascii="仿宋" w:hAnsi="仿宋" w:eastAsia="仿宋" w:cs="仿宋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bCs/>
                <w:sz w:val="21"/>
                <w:szCs w:val="21"/>
                <w:lang w:eastAsia="zh-CN"/>
              </w:rPr>
              <w:t>标段二</w:t>
            </w:r>
          </w:p>
        </w:tc>
        <w:tc>
          <w:tcPr>
            <w:tcW w:w="1560" w:type="dxa"/>
            <w:vAlign w:val="center"/>
          </w:tcPr>
          <w:p>
            <w:pPr>
              <w:widowControl w:val="0"/>
              <w:spacing w:after="0" w:line="460" w:lineRule="exact"/>
              <w:jc w:val="center"/>
              <w:rPr>
                <w:rFonts w:hint="default" w:ascii="仿宋" w:hAnsi="仿宋" w:eastAsia="仿宋" w:cs="仿宋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sz w:val="21"/>
                <w:szCs w:val="21"/>
                <w:lang w:val="en-US" w:eastAsia="zh-CN"/>
              </w:rPr>
              <w:t>酒  瓶</w:t>
            </w:r>
          </w:p>
        </w:tc>
        <w:tc>
          <w:tcPr>
            <w:tcW w:w="3226" w:type="dxa"/>
            <w:vAlign w:val="center"/>
          </w:tcPr>
          <w:p>
            <w:pPr>
              <w:widowControl w:val="0"/>
              <w:spacing w:after="0" w:line="460" w:lineRule="exact"/>
              <w:jc w:val="center"/>
              <w:rPr>
                <w:rFonts w:ascii="仿宋" w:hAnsi="仿宋" w:eastAsia="仿宋" w:cs="仿宋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bCs/>
                <w:sz w:val="21"/>
                <w:szCs w:val="21"/>
                <w:lang w:eastAsia="zh-CN"/>
              </w:rPr>
              <w:t>2</w:t>
            </w:r>
            <w:r>
              <w:rPr>
                <w:rFonts w:ascii="仿宋" w:hAnsi="仿宋" w:eastAsia="仿宋" w:cs="仿宋"/>
                <w:bCs/>
                <w:sz w:val="21"/>
                <w:szCs w:val="21"/>
                <w:lang w:eastAsia="zh-CN"/>
              </w:rPr>
              <w:t>02</w:t>
            </w:r>
            <w:r>
              <w:rPr>
                <w:rFonts w:hint="eastAsia" w:ascii="仿宋" w:hAnsi="仿宋" w:eastAsia="仿宋" w:cs="仿宋"/>
                <w:bCs/>
                <w:sz w:val="21"/>
                <w:szCs w:val="21"/>
                <w:lang w:val="en-US" w:eastAsia="zh-CN"/>
              </w:rPr>
              <w:t>4</w:t>
            </w:r>
            <w:r>
              <w:rPr>
                <w:rFonts w:hint="eastAsia" w:ascii="仿宋" w:hAnsi="仿宋" w:eastAsia="仿宋" w:cs="仿宋"/>
                <w:bCs/>
                <w:sz w:val="21"/>
                <w:szCs w:val="21"/>
                <w:lang w:eastAsia="zh-CN"/>
              </w:rPr>
              <w:t>年</w:t>
            </w:r>
            <w:r>
              <w:rPr>
                <w:rFonts w:hint="eastAsia" w:ascii="仿宋" w:hAnsi="仿宋" w:eastAsia="仿宋" w:cs="仿宋"/>
                <w:bCs/>
                <w:sz w:val="21"/>
                <w:szCs w:val="21"/>
                <w:lang w:val="en-US" w:eastAsia="zh-CN"/>
              </w:rPr>
              <w:t>8</w:t>
            </w:r>
            <w:r>
              <w:rPr>
                <w:rFonts w:hint="eastAsia" w:ascii="仿宋" w:hAnsi="仿宋" w:eastAsia="仿宋" w:cs="仿宋"/>
                <w:bCs/>
                <w:sz w:val="21"/>
                <w:szCs w:val="21"/>
                <w:lang w:eastAsia="zh-CN"/>
              </w:rPr>
              <w:t>月</w:t>
            </w:r>
            <w:r>
              <w:rPr>
                <w:rFonts w:hint="eastAsia" w:ascii="仿宋" w:hAnsi="仿宋" w:eastAsia="仿宋" w:cs="仿宋"/>
                <w:bCs/>
                <w:sz w:val="21"/>
                <w:szCs w:val="21"/>
                <w:lang w:val="en-US" w:eastAsia="zh-CN"/>
              </w:rPr>
              <w:t>19</w:t>
            </w:r>
            <w:r>
              <w:rPr>
                <w:rFonts w:hint="eastAsia" w:ascii="仿宋" w:hAnsi="仿宋" w:eastAsia="仿宋" w:cs="仿宋"/>
                <w:bCs/>
                <w:sz w:val="21"/>
                <w:szCs w:val="21"/>
                <w:lang w:eastAsia="zh-CN"/>
              </w:rPr>
              <w:t>日1</w:t>
            </w:r>
            <w:r>
              <w:rPr>
                <w:rFonts w:hint="eastAsia" w:ascii="仿宋" w:hAnsi="仿宋" w:eastAsia="仿宋" w:cs="仿宋"/>
                <w:bCs/>
                <w:sz w:val="21"/>
                <w:szCs w:val="21"/>
                <w:lang w:val="en-US" w:eastAsia="zh-CN"/>
              </w:rPr>
              <w:t>8</w:t>
            </w:r>
            <w:r>
              <w:rPr>
                <w:rFonts w:ascii="仿宋" w:hAnsi="仿宋" w:eastAsia="仿宋" w:cs="仿宋"/>
                <w:bCs/>
                <w:sz w:val="21"/>
                <w:szCs w:val="21"/>
                <w:lang w:eastAsia="zh-CN"/>
              </w:rPr>
              <w:t>:00</w:t>
            </w:r>
            <w:r>
              <w:rPr>
                <w:rFonts w:hint="eastAsia" w:ascii="仿宋" w:hAnsi="仿宋" w:eastAsia="仿宋" w:cs="仿宋"/>
                <w:bCs/>
                <w:sz w:val="21"/>
                <w:szCs w:val="21"/>
                <w:lang w:eastAsia="zh-CN"/>
              </w:rPr>
              <w:t>前</w:t>
            </w:r>
          </w:p>
        </w:tc>
        <w:tc>
          <w:tcPr>
            <w:tcW w:w="1156" w:type="dxa"/>
          </w:tcPr>
          <w:p>
            <w:pPr>
              <w:widowControl w:val="0"/>
              <w:spacing w:after="0" w:line="460" w:lineRule="exact"/>
              <w:jc w:val="center"/>
              <w:rPr>
                <w:rFonts w:ascii="仿宋" w:hAnsi="仿宋" w:eastAsia="仿宋" w:cs="仿宋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5" w:hRule="atLeast"/>
        </w:trPr>
        <w:tc>
          <w:tcPr>
            <w:tcW w:w="2018" w:type="dxa"/>
            <w:vAlign w:val="center"/>
          </w:tcPr>
          <w:p>
            <w:pPr>
              <w:widowControl w:val="0"/>
              <w:spacing w:after="0" w:line="460" w:lineRule="exact"/>
              <w:jc w:val="center"/>
              <w:rPr>
                <w:rFonts w:ascii="仿宋" w:hAnsi="仿宋" w:eastAsia="仿宋" w:cs="仿宋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bCs/>
                <w:sz w:val="21"/>
                <w:szCs w:val="21"/>
                <w:lang w:eastAsia="zh-CN"/>
              </w:rPr>
              <w:t>标段三</w:t>
            </w:r>
          </w:p>
        </w:tc>
        <w:tc>
          <w:tcPr>
            <w:tcW w:w="1560" w:type="dxa"/>
            <w:vAlign w:val="center"/>
          </w:tcPr>
          <w:p>
            <w:pPr>
              <w:widowControl w:val="0"/>
              <w:spacing w:after="0" w:line="460" w:lineRule="exact"/>
              <w:jc w:val="center"/>
              <w:rPr>
                <w:rFonts w:hint="default" w:ascii="仿宋" w:hAnsi="仿宋" w:eastAsia="仿宋" w:cs="仿宋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sz w:val="21"/>
                <w:szCs w:val="21"/>
                <w:lang w:val="en-US" w:eastAsia="zh-CN"/>
              </w:rPr>
              <w:t>瓶  盖</w:t>
            </w:r>
          </w:p>
        </w:tc>
        <w:tc>
          <w:tcPr>
            <w:tcW w:w="3226" w:type="dxa"/>
            <w:vAlign w:val="center"/>
          </w:tcPr>
          <w:p>
            <w:pPr>
              <w:widowControl w:val="0"/>
              <w:spacing w:after="0" w:line="460" w:lineRule="exact"/>
              <w:jc w:val="center"/>
              <w:rPr>
                <w:rFonts w:ascii="仿宋" w:hAnsi="仿宋" w:eastAsia="仿宋" w:cs="仿宋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bCs/>
                <w:sz w:val="21"/>
                <w:szCs w:val="21"/>
                <w:lang w:eastAsia="zh-CN"/>
              </w:rPr>
              <w:t>2</w:t>
            </w:r>
            <w:r>
              <w:rPr>
                <w:rFonts w:ascii="仿宋" w:hAnsi="仿宋" w:eastAsia="仿宋" w:cs="仿宋"/>
                <w:bCs/>
                <w:sz w:val="21"/>
                <w:szCs w:val="21"/>
                <w:lang w:eastAsia="zh-CN"/>
              </w:rPr>
              <w:t>02</w:t>
            </w:r>
            <w:r>
              <w:rPr>
                <w:rFonts w:hint="eastAsia" w:ascii="仿宋" w:hAnsi="仿宋" w:eastAsia="仿宋" w:cs="仿宋"/>
                <w:bCs/>
                <w:sz w:val="21"/>
                <w:szCs w:val="21"/>
                <w:lang w:val="en-US" w:eastAsia="zh-CN"/>
              </w:rPr>
              <w:t>4</w:t>
            </w:r>
            <w:r>
              <w:rPr>
                <w:rFonts w:hint="eastAsia" w:ascii="仿宋" w:hAnsi="仿宋" w:eastAsia="仿宋" w:cs="仿宋"/>
                <w:bCs/>
                <w:sz w:val="21"/>
                <w:szCs w:val="21"/>
                <w:lang w:eastAsia="zh-CN"/>
              </w:rPr>
              <w:t>年</w:t>
            </w:r>
            <w:r>
              <w:rPr>
                <w:rFonts w:hint="eastAsia" w:ascii="仿宋" w:hAnsi="仿宋" w:eastAsia="仿宋" w:cs="仿宋"/>
                <w:bCs/>
                <w:sz w:val="21"/>
                <w:szCs w:val="21"/>
                <w:lang w:val="en-US" w:eastAsia="zh-CN"/>
              </w:rPr>
              <w:t>9</w:t>
            </w:r>
            <w:r>
              <w:rPr>
                <w:rFonts w:hint="eastAsia" w:ascii="仿宋" w:hAnsi="仿宋" w:eastAsia="仿宋" w:cs="仿宋"/>
                <w:bCs/>
                <w:sz w:val="21"/>
                <w:szCs w:val="21"/>
                <w:lang w:eastAsia="zh-CN"/>
              </w:rPr>
              <w:t>月</w:t>
            </w:r>
            <w:r>
              <w:rPr>
                <w:rFonts w:hint="eastAsia" w:ascii="仿宋" w:hAnsi="仿宋" w:eastAsia="仿宋" w:cs="仿宋"/>
                <w:bCs/>
                <w:sz w:val="21"/>
                <w:szCs w:val="21"/>
                <w:lang w:val="en-US" w:eastAsia="zh-CN"/>
              </w:rPr>
              <w:t>19</w:t>
            </w:r>
            <w:r>
              <w:rPr>
                <w:rFonts w:hint="eastAsia" w:ascii="仿宋" w:hAnsi="仿宋" w:eastAsia="仿宋" w:cs="仿宋"/>
                <w:bCs/>
                <w:sz w:val="21"/>
                <w:szCs w:val="21"/>
                <w:lang w:eastAsia="zh-CN"/>
              </w:rPr>
              <w:t>日1</w:t>
            </w:r>
            <w:r>
              <w:rPr>
                <w:rFonts w:hint="eastAsia" w:ascii="仿宋" w:hAnsi="仿宋" w:eastAsia="仿宋" w:cs="仿宋"/>
                <w:bCs/>
                <w:sz w:val="21"/>
                <w:szCs w:val="21"/>
                <w:lang w:val="en-US" w:eastAsia="zh-CN"/>
              </w:rPr>
              <w:t>8</w:t>
            </w:r>
            <w:r>
              <w:rPr>
                <w:rFonts w:hint="eastAsia" w:ascii="仿宋" w:hAnsi="仿宋" w:eastAsia="仿宋" w:cs="仿宋"/>
                <w:bCs/>
                <w:sz w:val="21"/>
                <w:szCs w:val="21"/>
                <w:lang w:eastAsia="zh-CN"/>
              </w:rPr>
              <w:t>:</w:t>
            </w:r>
            <w:r>
              <w:rPr>
                <w:rFonts w:ascii="仿宋" w:hAnsi="仿宋" w:eastAsia="仿宋" w:cs="仿宋"/>
                <w:bCs/>
                <w:sz w:val="21"/>
                <w:szCs w:val="21"/>
                <w:lang w:eastAsia="zh-CN"/>
              </w:rPr>
              <w:t>00</w:t>
            </w:r>
            <w:r>
              <w:rPr>
                <w:rFonts w:hint="eastAsia" w:ascii="仿宋" w:hAnsi="仿宋" w:eastAsia="仿宋" w:cs="仿宋"/>
                <w:bCs/>
                <w:sz w:val="21"/>
                <w:szCs w:val="21"/>
                <w:lang w:eastAsia="zh-CN"/>
              </w:rPr>
              <w:t>前</w:t>
            </w:r>
          </w:p>
        </w:tc>
        <w:tc>
          <w:tcPr>
            <w:tcW w:w="1156" w:type="dxa"/>
          </w:tcPr>
          <w:p>
            <w:pPr>
              <w:widowControl w:val="0"/>
              <w:spacing w:after="0" w:line="460" w:lineRule="exact"/>
              <w:jc w:val="center"/>
              <w:rPr>
                <w:rFonts w:ascii="仿宋" w:hAnsi="仿宋" w:eastAsia="仿宋" w:cs="仿宋"/>
                <w:bCs/>
                <w:sz w:val="21"/>
                <w:szCs w:val="21"/>
              </w:rPr>
            </w:pPr>
          </w:p>
        </w:tc>
      </w:tr>
    </w:tbl>
    <w:p>
      <w:pPr>
        <w:numPr>
          <w:ilvl w:val="0"/>
          <w:numId w:val="0"/>
        </w:numPr>
        <w:spacing w:after="0" w:line="420" w:lineRule="exact"/>
        <w:ind w:firstLine="480" w:firstLineChars="200"/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（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val="en-US" w:eastAsia="zh-CN"/>
        </w:rPr>
        <w:t>三）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截止日期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val="en-US" w:eastAsia="zh-CN"/>
        </w:rPr>
        <w:t>前</w:t>
      </w:r>
      <w:r>
        <w:rPr>
          <w:rFonts w:hint="eastAsia" w:ascii="仿宋" w:hAnsi="仿宋" w:eastAsia="仿宋"/>
          <w:color w:val="auto"/>
          <w:sz w:val="24"/>
          <w:szCs w:val="24"/>
        </w:rPr>
        <w:t>登陆舍得酒业招采数字化平台（网址： https://ssrm.shede.com.cn ）点击页面顶部“一链网”</w:t>
      </w:r>
      <w:r>
        <w:rPr>
          <w:rFonts w:hint="eastAsia" w:ascii="仿宋" w:hAnsi="仿宋" w:eastAsia="仿宋"/>
          <w:color w:val="auto"/>
          <w:sz w:val="24"/>
          <w:szCs w:val="24"/>
          <w:lang w:val="en-US" w:eastAsia="zh-CN"/>
        </w:rPr>
        <w:t>上传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val="en-US" w:eastAsia="zh-CN"/>
        </w:rPr>
        <w:t>投标书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。逾期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val="en-US" w:eastAsia="zh-CN"/>
        </w:rPr>
        <w:t>上传投标书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或者未送达指定地点的投标样品，招标人不予受理。</w:t>
      </w:r>
    </w:p>
    <w:p>
      <w:pPr>
        <w:numPr>
          <w:ilvl w:val="0"/>
          <w:numId w:val="2"/>
        </w:numPr>
        <w:spacing w:after="0" w:line="420" w:lineRule="exact"/>
        <w:ind w:left="0" w:leftChars="0" w:firstLine="480" w:firstLineChars="200"/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无论投标结果如何，投标人在投标过程中所产生的一切费用，招标人均不承担。</w:t>
      </w:r>
    </w:p>
    <w:p>
      <w:pPr>
        <w:adjustRightInd w:val="0"/>
        <w:snapToGrid w:val="0"/>
        <w:spacing w:after="0" w:line="420" w:lineRule="exact"/>
        <w:ind w:firstLine="720" w:firstLineChars="300"/>
        <w:rPr>
          <w:rFonts w:ascii="仿宋" w:hAnsi="仿宋" w:eastAsia="仿宋" w:cs="仿宋"/>
          <w:bCs/>
          <w:color w:val="auto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(五)投标报价有效期：投标人所提交的报价文件有效期为递交报价文件的截止之日起45天。</w:t>
      </w:r>
    </w:p>
    <w:p>
      <w:pPr>
        <w:spacing w:after="0" w:line="460" w:lineRule="exact"/>
        <w:ind w:firstLine="480" w:firstLineChars="200"/>
        <w:rPr>
          <w:rFonts w:ascii="仿宋" w:hAnsi="仿宋" w:eastAsia="仿宋" w:cs="仿宋"/>
          <w:bCs/>
          <w:color w:val="auto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八、开标时间、地点</w:t>
      </w:r>
    </w:p>
    <w:p>
      <w:pPr>
        <w:spacing w:after="0" w:line="360" w:lineRule="exact"/>
        <w:ind w:firstLine="470" w:firstLineChars="196"/>
        <w:rPr>
          <w:rFonts w:ascii="仿宋" w:hAnsi="仿宋" w:eastAsia="仿宋" w:cs="仿宋"/>
          <w:bCs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（一）</w:t>
      </w:r>
      <w:r>
        <w:rPr>
          <w:rFonts w:hint="eastAsia" w:ascii="仿宋" w:hAnsi="仿宋" w:eastAsia="仿宋" w:cs="仿宋"/>
          <w:bCs/>
          <w:sz w:val="24"/>
          <w:szCs w:val="24"/>
          <w:lang w:eastAsia="zh-CN"/>
        </w:rPr>
        <w:t>开标时间，详见下表。</w:t>
      </w:r>
    </w:p>
    <w:tbl>
      <w:tblPr>
        <w:tblStyle w:val="34"/>
        <w:tblW w:w="9066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8"/>
        <w:gridCol w:w="1805"/>
        <w:gridCol w:w="4148"/>
        <w:gridCol w:w="169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9" w:hRule="atLeast"/>
        </w:trPr>
        <w:tc>
          <w:tcPr>
            <w:tcW w:w="1418" w:type="dxa"/>
            <w:vAlign w:val="center"/>
          </w:tcPr>
          <w:p>
            <w:pPr>
              <w:widowControl w:val="0"/>
              <w:spacing w:after="0" w:line="360" w:lineRule="exact"/>
              <w:jc w:val="center"/>
              <w:rPr>
                <w:rFonts w:ascii="仿宋" w:hAnsi="仿宋" w:eastAsia="仿宋" w:cs="仿宋"/>
                <w:b/>
                <w:bCs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b/>
                <w:bCs w:val="0"/>
                <w:sz w:val="21"/>
                <w:szCs w:val="21"/>
              </w:rPr>
              <w:t>标段</w:t>
            </w:r>
          </w:p>
        </w:tc>
        <w:tc>
          <w:tcPr>
            <w:tcW w:w="1805" w:type="dxa"/>
            <w:vAlign w:val="center"/>
          </w:tcPr>
          <w:p>
            <w:pPr>
              <w:widowControl w:val="0"/>
              <w:spacing w:after="0" w:line="360" w:lineRule="exact"/>
              <w:jc w:val="center"/>
              <w:rPr>
                <w:rFonts w:ascii="仿宋" w:hAnsi="仿宋" w:eastAsia="仿宋" w:cs="仿宋"/>
                <w:b/>
                <w:bCs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b/>
                <w:bCs w:val="0"/>
                <w:sz w:val="21"/>
                <w:szCs w:val="21"/>
                <w:lang w:eastAsia="zh-CN"/>
              </w:rPr>
              <w:t>标的</w:t>
            </w:r>
            <w:r>
              <w:rPr>
                <w:rFonts w:hint="eastAsia" w:ascii="仿宋" w:hAnsi="仿宋" w:eastAsia="仿宋" w:cs="仿宋"/>
                <w:b/>
                <w:bCs w:val="0"/>
                <w:sz w:val="21"/>
                <w:szCs w:val="21"/>
              </w:rPr>
              <w:t>类别</w:t>
            </w:r>
          </w:p>
        </w:tc>
        <w:tc>
          <w:tcPr>
            <w:tcW w:w="4148" w:type="dxa"/>
            <w:vAlign w:val="center"/>
          </w:tcPr>
          <w:p>
            <w:pPr>
              <w:widowControl w:val="0"/>
              <w:spacing w:after="0" w:line="360" w:lineRule="exact"/>
              <w:jc w:val="center"/>
              <w:rPr>
                <w:rFonts w:ascii="仿宋" w:hAnsi="仿宋" w:eastAsia="仿宋" w:cs="仿宋"/>
                <w:b/>
                <w:bCs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b/>
                <w:bCs w:val="0"/>
                <w:sz w:val="21"/>
                <w:szCs w:val="21"/>
              </w:rPr>
              <w:t>暂定开标时间</w:t>
            </w:r>
          </w:p>
        </w:tc>
        <w:tc>
          <w:tcPr>
            <w:tcW w:w="1695" w:type="dxa"/>
            <w:vAlign w:val="center"/>
          </w:tcPr>
          <w:p>
            <w:pPr>
              <w:widowControl w:val="0"/>
              <w:spacing w:after="0" w:line="360" w:lineRule="exact"/>
              <w:jc w:val="center"/>
              <w:rPr>
                <w:rFonts w:ascii="仿宋" w:hAnsi="仿宋" w:eastAsia="仿宋" w:cs="仿宋"/>
                <w:b/>
                <w:bCs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b/>
                <w:bCs w:val="0"/>
                <w:sz w:val="21"/>
                <w:szCs w:val="21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2" w:hRule="atLeast"/>
        </w:trPr>
        <w:tc>
          <w:tcPr>
            <w:tcW w:w="1418" w:type="dxa"/>
            <w:vAlign w:val="center"/>
          </w:tcPr>
          <w:p>
            <w:pPr>
              <w:widowControl w:val="0"/>
              <w:spacing w:after="0" w:line="460" w:lineRule="exact"/>
              <w:jc w:val="center"/>
              <w:rPr>
                <w:rFonts w:ascii="仿宋" w:hAnsi="仿宋" w:eastAsia="仿宋" w:cs="仿宋"/>
                <w:bCs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bCs/>
                <w:sz w:val="21"/>
                <w:szCs w:val="21"/>
                <w:lang w:eastAsia="zh-CN"/>
              </w:rPr>
              <w:t>标段一</w:t>
            </w:r>
          </w:p>
        </w:tc>
        <w:tc>
          <w:tcPr>
            <w:tcW w:w="1805" w:type="dxa"/>
            <w:vAlign w:val="center"/>
          </w:tcPr>
          <w:p>
            <w:pPr>
              <w:widowControl w:val="0"/>
              <w:spacing w:after="0" w:line="460" w:lineRule="exact"/>
              <w:jc w:val="center"/>
              <w:rPr>
                <w:rFonts w:ascii="仿宋" w:hAnsi="仿宋" w:eastAsia="仿宋" w:cs="仿宋"/>
                <w:bCs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bCs/>
                <w:sz w:val="21"/>
                <w:szCs w:val="21"/>
                <w:lang w:val="en-US" w:eastAsia="zh-CN"/>
              </w:rPr>
              <w:t>纸包装</w:t>
            </w:r>
          </w:p>
        </w:tc>
        <w:tc>
          <w:tcPr>
            <w:tcW w:w="4148" w:type="dxa"/>
            <w:vAlign w:val="center"/>
          </w:tcPr>
          <w:p>
            <w:pPr>
              <w:widowControl w:val="0"/>
              <w:spacing w:after="0" w:line="360" w:lineRule="exact"/>
              <w:jc w:val="center"/>
              <w:rPr>
                <w:rFonts w:ascii="仿宋" w:hAnsi="仿宋" w:eastAsia="仿宋" w:cs="仿宋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bCs/>
                <w:sz w:val="21"/>
                <w:szCs w:val="21"/>
                <w:lang w:eastAsia="zh-CN"/>
              </w:rPr>
              <w:t>2</w:t>
            </w:r>
            <w:r>
              <w:rPr>
                <w:rFonts w:ascii="仿宋" w:hAnsi="仿宋" w:eastAsia="仿宋" w:cs="仿宋"/>
                <w:bCs/>
                <w:sz w:val="21"/>
                <w:szCs w:val="21"/>
                <w:lang w:eastAsia="zh-CN"/>
              </w:rPr>
              <w:t>02</w:t>
            </w:r>
            <w:r>
              <w:rPr>
                <w:rFonts w:hint="eastAsia" w:ascii="仿宋" w:hAnsi="仿宋" w:eastAsia="仿宋" w:cs="仿宋"/>
                <w:bCs/>
                <w:sz w:val="21"/>
                <w:szCs w:val="21"/>
                <w:lang w:val="en-US" w:eastAsia="zh-CN"/>
              </w:rPr>
              <w:t>4</w:t>
            </w:r>
            <w:r>
              <w:rPr>
                <w:rFonts w:hint="eastAsia" w:ascii="仿宋" w:hAnsi="仿宋" w:eastAsia="仿宋" w:cs="仿宋"/>
                <w:bCs/>
                <w:sz w:val="21"/>
                <w:szCs w:val="21"/>
                <w:lang w:eastAsia="zh-CN"/>
              </w:rPr>
              <w:t>年</w:t>
            </w:r>
            <w:r>
              <w:rPr>
                <w:rFonts w:hint="eastAsia" w:ascii="仿宋" w:hAnsi="仿宋" w:eastAsia="仿宋" w:cs="仿宋"/>
                <w:bCs/>
                <w:sz w:val="21"/>
                <w:szCs w:val="21"/>
                <w:lang w:val="en-US" w:eastAsia="zh-CN"/>
              </w:rPr>
              <w:t>8</w:t>
            </w:r>
            <w:r>
              <w:rPr>
                <w:rFonts w:hint="eastAsia" w:ascii="仿宋" w:hAnsi="仿宋" w:eastAsia="仿宋" w:cs="仿宋"/>
                <w:bCs/>
                <w:sz w:val="21"/>
                <w:szCs w:val="21"/>
                <w:lang w:eastAsia="zh-CN"/>
              </w:rPr>
              <w:t>月</w:t>
            </w:r>
            <w:r>
              <w:rPr>
                <w:rFonts w:hint="eastAsia" w:ascii="仿宋" w:hAnsi="仿宋" w:eastAsia="仿宋" w:cs="仿宋"/>
                <w:bCs/>
                <w:sz w:val="21"/>
                <w:szCs w:val="21"/>
                <w:lang w:val="en-US" w:eastAsia="zh-CN"/>
              </w:rPr>
              <w:t>20</w:t>
            </w:r>
            <w:r>
              <w:rPr>
                <w:rFonts w:hint="eastAsia" w:ascii="仿宋" w:hAnsi="仿宋" w:eastAsia="仿宋" w:cs="仿宋"/>
                <w:bCs/>
                <w:sz w:val="21"/>
                <w:szCs w:val="21"/>
                <w:lang w:eastAsia="zh-CN"/>
              </w:rPr>
              <w:t>日9：</w:t>
            </w:r>
            <w:r>
              <w:rPr>
                <w:rFonts w:ascii="仿宋" w:hAnsi="仿宋" w:eastAsia="仿宋" w:cs="仿宋"/>
                <w:bCs/>
                <w:sz w:val="21"/>
                <w:szCs w:val="21"/>
                <w:lang w:eastAsia="zh-CN"/>
              </w:rPr>
              <w:t>30</w:t>
            </w:r>
          </w:p>
        </w:tc>
        <w:tc>
          <w:tcPr>
            <w:tcW w:w="1695" w:type="dxa"/>
            <w:vMerge w:val="restart"/>
            <w:vAlign w:val="center"/>
          </w:tcPr>
          <w:p>
            <w:pPr>
              <w:widowControl w:val="0"/>
              <w:spacing w:after="0" w:line="360" w:lineRule="exact"/>
              <w:jc w:val="both"/>
              <w:rPr>
                <w:rFonts w:ascii="仿宋" w:hAnsi="仿宋" w:eastAsia="仿宋" w:cs="仿宋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bCs/>
                <w:sz w:val="21"/>
                <w:szCs w:val="21"/>
                <w:lang w:eastAsia="zh-CN"/>
              </w:rPr>
              <w:t>开标日期若有变化，以招标人另行通知为准。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4" w:hRule="atLeast"/>
        </w:trPr>
        <w:tc>
          <w:tcPr>
            <w:tcW w:w="1418" w:type="dxa"/>
            <w:vAlign w:val="center"/>
          </w:tcPr>
          <w:p>
            <w:pPr>
              <w:widowControl w:val="0"/>
              <w:spacing w:after="0" w:line="360" w:lineRule="exact"/>
              <w:jc w:val="center"/>
              <w:rPr>
                <w:rFonts w:ascii="仿宋" w:hAnsi="仿宋" w:eastAsia="仿宋" w:cs="仿宋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bCs/>
                <w:sz w:val="21"/>
                <w:szCs w:val="21"/>
                <w:lang w:eastAsia="zh-CN"/>
              </w:rPr>
              <w:t>标段二</w:t>
            </w:r>
          </w:p>
        </w:tc>
        <w:tc>
          <w:tcPr>
            <w:tcW w:w="1805" w:type="dxa"/>
            <w:vAlign w:val="center"/>
          </w:tcPr>
          <w:p>
            <w:pPr>
              <w:widowControl w:val="0"/>
              <w:spacing w:after="0" w:line="460" w:lineRule="exact"/>
              <w:jc w:val="center"/>
              <w:rPr>
                <w:rFonts w:ascii="仿宋" w:hAnsi="仿宋" w:eastAsia="仿宋" w:cs="仿宋"/>
                <w:bCs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bCs/>
                <w:sz w:val="21"/>
                <w:szCs w:val="21"/>
                <w:lang w:val="en-US" w:eastAsia="zh-CN"/>
              </w:rPr>
              <w:t>酒  瓶</w:t>
            </w:r>
          </w:p>
        </w:tc>
        <w:tc>
          <w:tcPr>
            <w:tcW w:w="4148" w:type="dxa"/>
            <w:vAlign w:val="center"/>
          </w:tcPr>
          <w:p>
            <w:pPr>
              <w:widowControl w:val="0"/>
              <w:spacing w:after="0" w:line="360" w:lineRule="exact"/>
              <w:jc w:val="center"/>
              <w:rPr>
                <w:rFonts w:ascii="仿宋" w:hAnsi="仿宋" w:eastAsia="仿宋" w:cs="仿宋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bCs/>
                <w:sz w:val="21"/>
                <w:szCs w:val="21"/>
                <w:lang w:eastAsia="zh-CN"/>
              </w:rPr>
              <w:t>2</w:t>
            </w:r>
            <w:r>
              <w:rPr>
                <w:rFonts w:ascii="仿宋" w:hAnsi="仿宋" w:eastAsia="仿宋" w:cs="仿宋"/>
                <w:bCs/>
                <w:sz w:val="21"/>
                <w:szCs w:val="21"/>
                <w:lang w:eastAsia="zh-CN"/>
              </w:rPr>
              <w:t>02</w:t>
            </w:r>
            <w:r>
              <w:rPr>
                <w:rFonts w:hint="eastAsia" w:ascii="仿宋" w:hAnsi="仿宋" w:eastAsia="仿宋" w:cs="仿宋"/>
                <w:bCs/>
                <w:sz w:val="21"/>
                <w:szCs w:val="21"/>
                <w:lang w:val="en-US" w:eastAsia="zh-CN"/>
              </w:rPr>
              <w:t>4</w:t>
            </w:r>
            <w:r>
              <w:rPr>
                <w:rFonts w:hint="eastAsia" w:ascii="仿宋" w:hAnsi="仿宋" w:eastAsia="仿宋" w:cs="仿宋"/>
                <w:bCs/>
                <w:sz w:val="21"/>
                <w:szCs w:val="21"/>
                <w:lang w:eastAsia="zh-CN"/>
              </w:rPr>
              <w:t>年</w:t>
            </w:r>
            <w:r>
              <w:rPr>
                <w:rFonts w:hint="eastAsia" w:ascii="仿宋" w:hAnsi="仿宋" w:eastAsia="仿宋" w:cs="仿宋"/>
                <w:bCs/>
                <w:sz w:val="21"/>
                <w:szCs w:val="21"/>
                <w:lang w:val="en-US" w:eastAsia="zh-CN"/>
              </w:rPr>
              <w:t>8</w:t>
            </w:r>
            <w:r>
              <w:rPr>
                <w:rFonts w:hint="eastAsia" w:ascii="仿宋" w:hAnsi="仿宋" w:eastAsia="仿宋" w:cs="仿宋"/>
                <w:bCs/>
                <w:sz w:val="21"/>
                <w:szCs w:val="21"/>
                <w:lang w:eastAsia="zh-CN"/>
              </w:rPr>
              <w:t>月</w:t>
            </w:r>
            <w:r>
              <w:rPr>
                <w:rFonts w:hint="eastAsia" w:ascii="仿宋" w:hAnsi="仿宋" w:eastAsia="仿宋" w:cs="仿宋"/>
                <w:bCs/>
                <w:sz w:val="21"/>
                <w:szCs w:val="21"/>
                <w:lang w:val="en-US" w:eastAsia="zh-CN"/>
              </w:rPr>
              <w:t>23</w:t>
            </w:r>
            <w:r>
              <w:rPr>
                <w:rFonts w:hint="eastAsia" w:ascii="仿宋" w:hAnsi="仿宋" w:eastAsia="仿宋" w:cs="仿宋"/>
                <w:bCs/>
                <w:sz w:val="21"/>
                <w:szCs w:val="21"/>
                <w:lang w:eastAsia="zh-CN"/>
              </w:rPr>
              <w:t>日9：3</w:t>
            </w:r>
            <w:r>
              <w:rPr>
                <w:rFonts w:ascii="仿宋" w:hAnsi="仿宋" w:eastAsia="仿宋" w:cs="仿宋"/>
                <w:bCs/>
                <w:sz w:val="21"/>
                <w:szCs w:val="21"/>
                <w:lang w:eastAsia="zh-CN"/>
              </w:rPr>
              <w:t>0</w:t>
            </w:r>
          </w:p>
        </w:tc>
        <w:tc>
          <w:tcPr>
            <w:tcW w:w="1695" w:type="dxa"/>
            <w:vMerge w:val="continue"/>
            <w:vAlign w:val="center"/>
          </w:tcPr>
          <w:p>
            <w:pPr>
              <w:widowControl w:val="0"/>
              <w:spacing w:after="0" w:line="360" w:lineRule="exact"/>
              <w:jc w:val="center"/>
              <w:rPr>
                <w:rFonts w:ascii="仿宋" w:hAnsi="仿宋" w:eastAsia="仿宋" w:cs="仿宋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4" w:hRule="atLeast"/>
        </w:trPr>
        <w:tc>
          <w:tcPr>
            <w:tcW w:w="1418" w:type="dxa"/>
          </w:tcPr>
          <w:p>
            <w:pPr>
              <w:widowControl w:val="0"/>
              <w:spacing w:after="0" w:line="360" w:lineRule="exact"/>
              <w:jc w:val="center"/>
              <w:rPr>
                <w:rFonts w:ascii="仿宋" w:hAnsi="仿宋" w:eastAsia="仿宋" w:cs="仿宋"/>
                <w:bCs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bCs/>
                <w:sz w:val="21"/>
                <w:szCs w:val="21"/>
                <w:lang w:eastAsia="zh-CN"/>
              </w:rPr>
              <w:t>标段三</w:t>
            </w:r>
          </w:p>
        </w:tc>
        <w:tc>
          <w:tcPr>
            <w:tcW w:w="1805" w:type="dxa"/>
            <w:vAlign w:val="center"/>
          </w:tcPr>
          <w:p>
            <w:pPr>
              <w:widowControl w:val="0"/>
              <w:spacing w:after="0" w:line="460" w:lineRule="exact"/>
              <w:jc w:val="center"/>
              <w:rPr>
                <w:rFonts w:ascii="仿宋" w:hAnsi="仿宋" w:eastAsia="仿宋" w:cs="仿宋"/>
                <w:bCs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bCs/>
                <w:sz w:val="21"/>
                <w:szCs w:val="21"/>
                <w:lang w:val="en-US" w:eastAsia="zh-CN"/>
              </w:rPr>
              <w:t>瓶  盖</w:t>
            </w:r>
          </w:p>
        </w:tc>
        <w:tc>
          <w:tcPr>
            <w:tcW w:w="4148" w:type="dxa"/>
            <w:vAlign w:val="center"/>
          </w:tcPr>
          <w:p>
            <w:pPr>
              <w:widowControl w:val="0"/>
              <w:spacing w:after="0" w:line="360" w:lineRule="exact"/>
              <w:jc w:val="center"/>
              <w:rPr>
                <w:rFonts w:ascii="仿宋" w:hAnsi="仿宋" w:eastAsia="仿宋" w:cs="仿宋"/>
                <w:bCs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bCs/>
                <w:sz w:val="21"/>
                <w:szCs w:val="21"/>
              </w:rPr>
              <w:t>202</w:t>
            </w:r>
            <w:r>
              <w:rPr>
                <w:rFonts w:hint="eastAsia" w:ascii="仿宋" w:hAnsi="仿宋" w:eastAsia="仿宋" w:cs="仿宋"/>
                <w:bCs/>
                <w:sz w:val="21"/>
                <w:szCs w:val="21"/>
                <w:lang w:val="en-US" w:eastAsia="zh-CN"/>
              </w:rPr>
              <w:t>4</w:t>
            </w:r>
            <w:r>
              <w:rPr>
                <w:rFonts w:hint="eastAsia" w:ascii="仿宋" w:hAnsi="仿宋" w:eastAsia="仿宋" w:cs="仿宋"/>
                <w:bCs/>
                <w:sz w:val="21"/>
                <w:szCs w:val="21"/>
              </w:rPr>
              <w:t>年</w:t>
            </w:r>
            <w:r>
              <w:rPr>
                <w:rFonts w:ascii="仿宋" w:hAnsi="仿宋" w:eastAsia="仿宋" w:cs="仿宋"/>
                <w:bCs/>
                <w:sz w:val="21"/>
                <w:szCs w:val="21"/>
                <w:lang w:eastAsia="zh-CN"/>
              </w:rPr>
              <w:t xml:space="preserve"> </w:t>
            </w:r>
            <w:r>
              <w:rPr>
                <w:rFonts w:hint="eastAsia" w:ascii="仿宋" w:hAnsi="仿宋" w:eastAsia="仿宋" w:cs="仿宋"/>
                <w:bCs/>
                <w:sz w:val="21"/>
                <w:szCs w:val="21"/>
                <w:lang w:val="en-US" w:eastAsia="zh-CN"/>
              </w:rPr>
              <w:t>9</w:t>
            </w:r>
            <w:r>
              <w:rPr>
                <w:rFonts w:hint="eastAsia" w:ascii="仿宋" w:hAnsi="仿宋" w:eastAsia="仿宋" w:cs="仿宋"/>
                <w:bCs/>
                <w:sz w:val="21"/>
                <w:szCs w:val="21"/>
              </w:rPr>
              <w:t>月</w:t>
            </w:r>
            <w:r>
              <w:rPr>
                <w:rFonts w:hint="eastAsia" w:ascii="仿宋" w:hAnsi="仿宋" w:eastAsia="仿宋" w:cs="仿宋"/>
                <w:bCs/>
                <w:sz w:val="21"/>
                <w:szCs w:val="21"/>
                <w:lang w:val="en-US" w:eastAsia="zh-CN"/>
              </w:rPr>
              <w:t>23</w:t>
            </w:r>
            <w:r>
              <w:rPr>
                <w:rFonts w:hint="eastAsia" w:ascii="仿宋" w:hAnsi="仿宋" w:eastAsia="仿宋" w:cs="仿宋"/>
                <w:bCs/>
                <w:sz w:val="21"/>
                <w:szCs w:val="21"/>
              </w:rPr>
              <w:t>日9</w:t>
            </w:r>
            <w:r>
              <w:rPr>
                <w:rFonts w:hint="eastAsia" w:ascii="仿宋" w:hAnsi="仿宋" w:eastAsia="仿宋" w:cs="仿宋"/>
                <w:bCs/>
                <w:sz w:val="21"/>
                <w:szCs w:val="21"/>
                <w:lang w:eastAsia="zh-CN"/>
              </w:rPr>
              <w:t>：</w:t>
            </w:r>
            <w:r>
              <w:rPr>
                <w:rFonts w:hint="eastAsia" w:ascii="仿宋" w:hAnsi="仿宋" w:eastAsia="仿宋" w:cs="仿宋"/>
                <w:bCs/>
                <w:sz w:val="21"/>
                <w:szCs w:val="21"/>
              </w:rPr>
              <w:t>30</w:t>
            </w:r>
          </w:p>
        </w:tc>
        <w:tc>
          <w:tcPr>
            <w:tcW w:w="1695" w:type="dxa"/>
            <w:vMerge w:val="continue"/>
            <w:vAlign w:val="center"/>
          </w:tcPr>
          <w:p>
            <w:pPr>
              <w:widowControl w:val="0"/>
              <w:spacing w:after="0" w:line="360" w:lineRule="exact"/>
              <w:jc w:val="center"/>
              <w:rPr>
                <w:rFonts w:ascii="仿宋" w:hAnsi="仿宋" w:eastAsia="仿宋" w:cs="仿宋"/>
                <w:bCs/>
                <w:sz w:val="21"/>
                <w:szCs w:val="21"/>
              </w:rPr>
            </w:pPr>
          </w:p>
        </w:tc>
      </w:tr>
    </w:tbl>
    <w:p>
      <w:pPr>
        <w:spacing w:after="0" w:line="360" w:lineRule="exact"/>
        <w:ind w:firstLine="411" w:firstLineChars="196"/>
        <w:rPr>
          <w:rFonts w:ascii="仿宋" w:hAnsi="仿宋" w:eastAsia="仿宋" w:cs="仿宋"/>
          <w:bCs/>
          <w:color w:val="auto"/>
          <w:sz w:val="21"/>
          <w:szCs w:val="21"/>
          <w:lang w:eastAsia="zh-CN"/>
        </w:rPr>
      </w:pPr>
    </w:p>
    <w:p>
      <w:pPr>
        <w:spacing w:after="0" w:line="360" w:lineRule="exact"/>
        <w:ind w:firstLine="480" w:firstLineChars="200"/>
        <w:rPr>
          <w:rFonts w:ascii="仿宋" w:hAnsi="仿宋" w:eastAsia="仿宋" w:cs="仿宋"/>
          <w:bCs/>
          <w:color w:val="auto"/>
          <w:sz w:val="24"/>
          <w:szCs w:val="24"/>
          <w:highlight w:val="none"/>
          <w:lang w:eastAsia="zh-CN"/>
        </w:rPr>
      </w:pPr>
      <w:r>
        <w:rPr>
          <w:rFonts w:hint="eastAsia" w:ascii="仿宋" w:hAnsi="仿宋" w:eastAsia="仿宋" w:cs="仿宋"/>
          <w:bCs/>
          <w:color w:val="auto"/>
          <w:sz w:val="24"/>
          <w:szCs w:val="24"/>
          <w:highlight w:val="none"/>
          <w:lang w:eastAsia="zh-CN"/>
        </w:rPr>
        <w:t>（二）开标地点：四川省射洪市沱牌镇·四川沱牌贸易有限公司办公楼会议室。</w:t>
      </w:r>
    </w:p>
    <w:p>
      <w:pPr>
        <w:spacing w:after="0" w:line="460" w:lineRule="exact"/>
        <w:ind w:firstLine="470" w:firstLineChars="196"/>
        <w:rPr>
          <w:rFonts w:ascii="仿宋" w:hAnsi="仿宋" w:eastAsia="仿宋" w:cs="仿宋"/>
          <w:bCs/>
          <w:color w:val="auto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九、招标公告发布媒介</w:t>
      </w:r>
    </w:p>
    <w:p>
      <w:pPr>
        <w:spacing w:after="0" w:line="460" w:lineRule="exact"/>
        <w:rPr>
          <w:rFonts w:ascii="仿宋" w:hAnsi="仿宋" w:eastAsia="仿宋" w:cs="仿宋"/>
          <w:bCs/>
          <w:color w:val="auto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本次招标公告于202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val="en-US" w:eastAsia="zh-CN"/>
        </w:rPr>
        <w:t>4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年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val="en-US" w:eastAsia="zh-CN"/>
        </w:rPr>
        <w:t>7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月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val="en-US" w:eastAsia="zh-CN"/>
        </w:rPr>
        <w:t>12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日在包括但不限于以下网站发布：</w:t>
      </w:r>
    </w:p>
    <w:p>
      <w:pPr>
        <w:spacing w:after="0" w:line="460" w:lineRule="exact"/>
        <w:rPr>
          <w:rFonts w:ascii="仿宋" w:hAnsi="仿宋" w:eastAsia="仿宋" w:cs="仿宋"/>
          <w:bCs/>
          <w:color w:val="auto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舍得酒业官网(http://www.tuopaishede.cn )</w:t>
      </w:r>
    </w:p>
    <w:p>
      <w:pPr>
        <w:spacing w:after="0" w:line="460" w:lineRule="exact"/>
        <w:rPr>
          <w:rFonts w:ascii="仿宋" w:hAnsi="仿宋" w:eastAsia="仿宋" w:cs="仿宋"/>
          <w:bCs/>
          <w:color w:val="auto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中国招标采购导航网(https://www.okcis.cn)</w:t>
      </w:r>
    </w:p>
    <w:p>
      <w:pPr>
        <w:spacing w:after="0" w:line="460" w:lineRule="exact"/>
        <w:rPr>
          <w:rFonts w:ascii="仿宋" w:hAnsi="仿宋" w:eastAsia="仿宋" w:cs="仿宋"/>
          <w:bCs/>
          <w:color w:val="auto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中国采购与招标网(http://www.chinabidding.com.cn)</w:t>
      </w:r>
    </w:p>
    <w:p>
      <w:pPr>
        <w:spacing w:after="0" w:line="460" w:lineRule="exact"/>
        <w:rPr>
          <w:rFonts w:ascii="仿宋" w:hAnsi="仿宋" w:eastAsia="仿宋" w:cs="仿宋"/>
          <w:bCs/>
          <w:color w:val="auto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本公告有效期截止开标当日17：30时。</w:t>
      </w:r>
    </w:p>
    <w:p>
      <w:pPr>
        <w:spacing w:after="0" w:line="460" w:lineRule="exact"/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联系人及电话：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val="en-US" w:eastAsia="zh-CN"/>
        </w:rPr>
        <w:t>纸包装类-何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先生1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val="en-US" w:eastAsia="zh-CN"/>
        </w:rPr>
        <w:t>3002837193</w:t>
      </w:r>
    </w:p>
    <w:p>
      <w:pPr>
        <w:spacing w:after="0" w:line="460" w:lineRule="exact"/>
        <w:rPr>
          <w:rFonts w:hint="default" w:ascii="仿宋" w:hAnsi="仿宋" w:eastAsia="仿宋" w:cs="仿宋"/>
          <w:bCs/>
          <w:color w:val="auto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Cs/>
          <w:color w:val="auto"/>
          <w:sz w:val="24"/>
          <w:szCs w:val="24"/>
          <w:lang w:val="en-US" w:eastAsia="zh-CN"/>
        </w:rPr>
        <w:t xml:space="preserve">              酒  瓶类-潘先生18108295893</w:t>
      </w:r>
    </w:p>
    <w:p>
      <w:pPr>
        <w:spacing w:after="0" w:line="460" w:lineRule="exact"/>
        <w:rPr>
          <w:rFonts w:hint="default" w:ascii="仿宋" w:hAnsi="仿宋" w:eastAsia="仿宋" w:cs="仿宋"/>
          <w:bCs/>
          <w:color w:val="auto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Cs/>
          <w:color w:val="auto"/>
          <w:sz w:val="24"/>
          <w:szCs w:val="24"/>
          <w:lang w:val="en-US" w:eastAsia="zh-CN"/>
        </w:rPr>
        <w:t xml:space="preserve">              瓶  盖类-张女士15892675182</w:t>
      </w:r>
    </w:p>
    <w:p>
      <w:pPr>
        <w:spacing w:after="0" w:line="460" w:lineRule="exact"/>
        <w:jc w:val="center"/>
        <w:rPr>
          <w:rFonts w:ascii="仿宋" w:hAnsi="仿宋" w:eastAsia="仿宋" w:cs="仿宋"/>
          <w:bCs/>
          <w:color w:val="auto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 xml:space="preserve">                                  四川沱牌贸易有限公司                                         </w:t>
      </w:r>
    </w:p>
    <w:p>
      <w:pPr>
        <w:spacing w:after="0" w:line="460" w:lineRule="exact"/>
        <w:jc w:val="center"/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</w:pPr>
      <w:bookmarkStart w:id="5" w:name="_Hlk35875500"/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 xml:space="preserve">                                    二○二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val="en-US" w:eastAsia="zh-CN"/>
        </w:rPr>
        <w:t>四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年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val="en-US" w:eastAsia="zh-CN"/>
        </w:rPr>
        <w:t>七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月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val="en-US" w:eastAsia="zh-CN"/>
        </w:rPr>
        <w:t>十二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日</w:t>
      </w:r>
      <w:bookmarkEnd w:id="5"/>
    </w:p>
    <w:p>
      <w:pPr>
        <w:adjustRightInd w:val="0"/>
        <w:spacing w:after="0" w:line="460" w:lineRule="exact"/>
        <w:ind w:firstLine="480" w:firstLineChars="200"/>
        <w:jc w:val="left"/>
        <w:rPr>
          <w:rFonts w:ascii="仿宋" w:hAnsi="仿宋" w:eastAsia="仿宋" w:cs="仿宋"/>
          <w:b/>
          <w:bCs/>
          <w:color w:val="auto"/>
          <w:sz w:val="21"/>
          <w:szCs w:val="21"/>
          <w:lang w:eastAsia="zh-CN" w:bidi="ar"/>
        </w:rPr>
      </w:pPr>
      <w:r>
        <w:rPr>
          <w:rFonts w:ascii="宋体" w:hAnsi="宋体" w:eastAsia="宋体" w:cs="宋体"/>
          <w:color w:val="auto"/>
          <w:sz w:val="24"/>
          <w:szCs w:val="24"/>
        </w:rPr>
        <w:t>附件：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T68·沱牌特级480mL×6（手提箱·2024版）包材招标采购投标资格预审提交资料模板</w:t>
      </w:r>
      <w:r>
        <w:rPr>
          <w:rFonts w:ascii="宋体" w:hAnsi="宋体" w:eastAsia="宋体" w:cs="宋体"/>
          <w:color w:val="auto"/>
          <w:sz w:val="24"/>
          <w:szCs w:val="24"/>
        </w:rPr>
        <w:t>（点击下载）</w:t>
      </w:r>
      <w:bookmarkEnd w:id="0"/>
      <w:bookmarkEnd w:id="1"/>
      <w:bookmarkEnd w:id="2"/>
      <w:bookmarkStart w:id="6" w:name="_GoBack"/>
      <w:bookmarkEnd w:id="6"/>
    </w:p>
    <w:sectPr>
      <w:headerReference r:id="rId6" w:type="first"/>
      <w:footerReference r:id="rId8" w:type="first"/>
      <w:headerReference r:id="rId5" w:type="default"/>
      <w:footerReference r:id="rId7" w:type="default"/>
      <w:pgSz w:w="11906" w:h="16838"/>
      <w:pgMar w:top="0" w:right="1134" w:bottom="709" w:left="1134" w:header="354" w:footer="0" w:gutter="0"/>
      <w:cols w:space="0" w:num="1"/>
      <w:titlePg/>
      <w:docGrid w:type="lines" w:linePitch="321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TimesNewRomanPS-BoldMT">
    <w:altName w:val="Times New Roman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TimesNewRomanPSMT">
    <w:altName w:val="Times New Roman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2"/>
      <w:jc w:val="center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sdt>
                          <w:sdtPr>
                            <w:id w:val="14707260"/>
                          </w:sdtPr>
                          <w:sdtContent>
                            <w:p>
                              <w:pPr>
                                <w:pStyle w:val="22"/>
                                <w:jc w:val="center"/>
                              </w:pPr>
                              <w:r>
                                <w:fldChar w:fldCharType="begin"/>
                              </w:r>
                              <w:r>
                                <w:instrText xml:space="preserve"> PAGE   \* MERGEFORMAT </w:instrText>
                              </w:r>
                              <w:r>
                                <w:fldChar w:fldCharType="separate"/>
                              </w:r>
                              <w:r>
                                <w:rPr>
                                  <w:lang w:val="zh-CN"/>
                                </w:rPr>
                                <w:t>21</w:t>
                              </w:r>
                              <w:r>
                                <w:rPr>
                                  <w:lang w:val="zh-CN"/>
                                </w:rPr>
                                <w:fldChar w:fldCharType="end"/>
                              </w:r>
                            </w:p>
                          </w:sdtContent>
                        </w:sdt>
                        <w:p/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sdt>
                    <w:sdtPr>
                      <w:id w:val="14707260"/>
                    </w:sdtPr>
                    <w:sdtContent>
                      <w:p>
                        <w:pPr>
                          <w:pStyle w:val="22"/>
                          <w:jc w:val="center"/>
                        </w:pPr>
                        <w:r>
                          <w:fldChar w:fldCharType="begin"/>
                        </w:r>
                        <w:r>
                          <w:instrText xml:space="preserve"> PAGE   \* MERGEFORMAT </w:instrText>
                        </w:r>
                        <w:r>
                          <w:fldChar w:fldCharType="separate"/>
                        </w:r>
                        <w:r>
                          <w:rPr>
                            <w:lang w:val="zh-CN"/>
                          </w:rPr>
                          <w:t>21</w:t>
                        </w:r>
                        <w:r>
                          <w:rPr>
                            <w:lang w:val="zh-CN"/>
                          </w:rPr>
                          <w:fldChar w:fldCharType="end"/>
                        </w:r>
                      </w:p>
                    </w:sdtContent>
                  </w:sdt>
                  <w:p/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2"/>
    </w:pPr>
    <w: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2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028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2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3"/>
      <w:rPr>
        <w:lang w:eastAsia="zh-CN"/>
      </w:rPr>
    </w:pPr>
    <w:r>
      <w:rPr>
        <w:rFonts w:hint="eastAsia" w:ascii="宋体" w:hAnsi="宋体" w:eastAsia="宋体" w:cs="宋体"/>
        <w:b/>
        <w:bCs/>
        <w:sz w:val="24"/>
        <w:szCs w:val="24"/>
        <w:lang w:eastAsia="zh-CN"/>
      </w:rPr>
      <w:t xml:space="preserve">                                        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3"/>
      <w:pBdr>
        <w:bottom w:val="none" w:color="auto" w:sz="0" w:space="1"/>
      </w:pBdr>
      <w:rPr>
        <w:lang w:eastAsia="zh-CN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2EB9CE3"/>
    <w:multiLevelType w:val="singleLevel"/>
    <w:tmpl w:val="92EB9CE3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07069100"/>
    <w:multiLevelType w:val="singleLevel"/>
    <w:tmpl w:val="07069100"/>
    <w:lvl w:ilvl="0" w:tentative="0">
      <w:start w:val="3"/>
      <w:numFmt w:val="chineseCounting"/>
      <w:suff w:val="nothing"/>
      <w:lvlText w:val="（%1）"/>
      <w:lvlJc w:val="left"/>
      <w:rPr>
        <w:rFonts w:hint="eastAsi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HorizontalSpacing w:val="220"/>
  <w:drawingGridVerticalSpacing w:val="158"/>
  <w:displayHorizontalDrawingGridEvery w:val="1"/>
  <w:displayVerticalDrawingGridEvery w:val="2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YjAzNjFhMGVjZjJmNzgyMGNiMDdhNzRiYjc3NzU3MmEifQ=="/>
  </w:docVars>
  <w:rsids>
    <w:rsidRoot w:val="000F1E66"/>
    <w:rsid w:val="000001BC"/>
    <w:rsid w:val="00002A1F"/>
    <w:rsid w:val="00011194"/>
    <w:rsid w:val="000139C0"/>
    <w:rsid w:val="00013A2F"/>
    <w:rsid w:val="0001530F"/>
    <w:rsid w:val="00016485"/>
    <w:rsid w:val="00020FD0"/>
    <w:rsid w:val="0002273A"/>
    <w:rsid w:val="00022D5B"/>
    <w:rsid w:val="00023283"/>
    <w:rsid w:val="00024AD4"/>
    <w:rsid w:val="000263B3"/>
    <w:rsid w:val="000328B9"/>
    <w:rsid w:val="000340FF"/>
    <w:rsid w:val="00035AD5"/>
    <w:rsid w:val="00036D48"/>
    <w:rsid w:val="000400AF"/>
    <w:rsid w:val="000407CB"/>
    <w:rsid w:val="0004170A"/>
    <w:rsid w:val="00042596"/>
    <w:rsid w:val="00045020"/>
    <w:rsid w:val="00045CAC"/>
    <w:rsid w:val="00051048"/>
    <w:rsid w:val="0005518F"/>
    <w:rsid w:val="00055260"/>
    <w:rsid w:val="0006166A"/>
    <w:rsid w:val="00064609"/>
    <w:rsid w:val="00070A5F"/>
    <w:rsid w:val="0007179B"/>
    <w:rsid w:val="0007319D"/>
    <w:rsid w:val="00073B2A"/>
    <w:rsid w:val="0007477D"/>
    <w:rsid w:val="00080451"/>
    <w:rsid w:val="0008076F"/>
    <w:rsid w:val="00080C21"/>
    <w:rsid w:val="000824D6"/>
    <w:rsid w:val="00083968"/>
    <w:rsid w:val="00094B44"/>
    <w:rsid w:val="000950CE"/>
    <w:rsid w:val="000A2B43"/>
    <w:rsid w:val="000A5FCF"/>
    <w:rsid w:val="000B0ED1"/>
    <w:rsid w:val="000B2941"/>
    <w:rsid w:val="000B3E92"/>
    <w:rsid w:val="000B4871"/>
    <w:rsid w:val="000C1D4F"/>
    <w:rsid w:val="000C525E"/>
    <w:rsid w:val="000C5EA1"/>
    <w:rsid w:val="000D2CEC"/>
    <w:rsid w:val="000D4706"/>
    <w:rsid w:val="000D67DC"/>
    <w:rsid w:val="000E0A63"/>
    <w:rsid w:val="000E57E3"/>
    <w:rsid w:val="000E5939"/>
    <w:rsid w:val="000F1878"/>
    <w:rsid w:val="000F1E66"/>
    <w:rsid w:val="000F52ED"/>
    <w:rsid w:val="00102D69"/>
    <w:rsid w:val="00106688"/>
    <w:rsid w:val="00106848"/>
    <w:rsid w:val="001078FE"/>
    <w:rsid w:val="00111055"/>
    <w:rsid w:val="00111CBB"/>
    <w:rsid w:val="001122F6"/>
    <w:rsid w:val="0011435A"/>
    <w:rsid w:val="00131A16"/>
    <w:rsid w:val="0013344C"/>
    <w:rsid w:val="00134B54"/>
    <w:rsid w:val="001363E3"/>
    <w:rsid w:val="00136D92"/>
    <w:rsid w:val="00142F69"/>
    <w:rsid w:val="00143DFB"/>
    <w:rsid w:val="00147297"/>
    <w:rsid w:val="00150116"/>
    <w:rsid w:val="00153F08"/>
    <w:rsid w:val="00156E15"/>
    <w:rsid w:val="00156F27"/>
    <w:rsid w:val="00157A05"/>
    <w:rsid w:val="0016643C"/>
    <w:rsid w:val="0017060A"/>
    <w:rsid w:val="00174FAB"/>
    <w:rsid w:val="0017539D"/>
    <w:rsid w:val="00175DC2"/>
    <w:rsid w:val="00176151"/>
    <w:rsid w:val="00177211"/>
    <w:rsid w:val="001806D4"/>
    <w:rsid w:val="001847B0"/>
    <w:rsid w:val="001850DA"/>
    <w:rsid w:val="00185B0E"/>
    <w:rsid w:val="001867A4"/>
    <w:rsid w:val="00186CC0"/>
    <w:rsid w:val="001905A5"/>
    <w:rsid w:val="00195223"/>
    <w:rsid w:val="00195B50"/>
    <w:rsid w:val="001A26CD"/>
    <w:rsid w:val="001A3A82"/>
    <w:rsid w:val="001A569D"/>
    <w:rsid w:val="001B04E1"/>
    <w:rsid w:val="001B0DCD"/>
    <w:rsid w:val="001B1640"/>
    <w:rsid w:val="001B2CB2"/>
    <w:rsid w:val="001B3606"/>
    <w:rsid w:val="001B4634"/>
    <w:rsid w:val="001B4CF7"/>
    <w:rsid w:val="001C00F1"/>
    <w:rsid w:val="001C125E"/>
    <w:rsid w:val="001C6F2F"/>
    <w:rsid w:val="001C7329"/>
    <w:rsid w:val="001C7A5F"/>
    <w:rsid w:val="001D0E1F"/>
    <w:rsid w:val="001D2C84"/>
    <w:rsid w:val="001D522F"/>
    <w:rsid w:val="001D726B"/>
    <w:rsid w:val="001D73D2"/>
    <w:rsid w:val="001E10C1"/>
    <w:rsid w:val="001E497A"/>
    <w:rsid w:val="001E4B5D"/>
    <w:rsid w:val="001E6879"/>
    <w:rsid w:val="001F07EE"/>
    <w:rsid w:val="001F24D5"/>
    <w:rsid w:val="001F3401"/>
    <w:rsid w:val="001F38DC"/>
    <w:rsid w:val="001F3997"/>
    <w:rsid w:val="001F6018"/>
    <w:rsid w:val="001F768F"/>
    <w:rsid w:val="00200101"/>
    <w:rsid w:val="00202375"/>
    <w:rsid w:val="002027E7"/>
    <w:rsid w:val="002069AC"/>
    <w:rsid w:val="0020736E"/>
    <w:rsid w:val="00210F44"/>
    <w:rsid w:val="00214475"/>
    <w:rsid w:val="00214F8F"/>
    <w:rsid w:val="00215675"/>
    <w:rsid w:val="00217077"/>
    <w:rsid w:val="0021748D"/>
    <w:rsid w:val="002216B3"/>
    <w:rsid w:val="00222006"/>
    <w:rsid w:val="002240B9"/>
    <w:rsid w:val="0023290B"/>
    <w:rsid w:val="00232ADC"/>
    <w:rsid w:val="0023489A"/>
    <w:rsid w:val="00235A20"/>
    <w:rsid w:val="00240196"/>
    <w:rsid w:val="00244964"/>
    <w:rsid w:val="0024597F"/>
    <w:rsid w:val="00250610"/>
    <w:rsid w:val="00253AD5"/>
    <w:rsid w:val="00257F44"/>
    <w:rsid w:val="002605AE"/>
    <w:rsid w:val="00261A4F"/>
    <w:rsid w:val="002621F9"/>
    <w:rsid w:val="002629D9"/>
    <w:rsid w:val="00262BF7"/>
    <w:rsid w:val="002656B1"/>
    <w:rsid w:val="002705F4"/>
    <w:rsid w:val="0027590D"/>
    <w:rsid w:val="00277AB8"/>
    <w:rsid w:val="002810CA"/>
    <w:rsid w:val="002810FA"/>
    <w:rsid w:val="00284115"/>
    <w:rsid w:val="002851A4"/>
    <w:rsid w:val="0028657A"/>
    <w:rsid w:val="00290470"/>
    <w:rsid w:val="00290777"/>
    <w:rsid w:val="00297CB8"/>
    <w:rsid w:val="002A5A1F"/>
    <w:rsid w:val="002A67DC"/>
    <w:rsid w:val="002B0C98"/>
    <w:rsid w:val="002B293B"/>
    <w:rsid w:val="002B4892"/>
    <w:rsid w:val="002B66E8"/>
    <w:rsid w:val="002B7820"/>
    <w:rsid w:val="002C02D2"/>
    <w:rsid w:val="002C515B"/>
    <w:rsid w:val="002C77AC"/>
    <w:rsid w:val="002D020F"/>
    <w:rsid w:val="002D1809"/>
    <w:rsid w:val="002D1CB5"/>
    <w:rsid w:val="002D31A6"/>
    <w:rsid w:val="002D5209"/>
    <w:rsid w:val="002D5D14"/>
    <w:rsid w:val="002D6306"/>
    <w:rsid w:val="002E110F"/>
    <w:rsid w:val="002E4B50"/>
    <w:rsid w:val="002E52F5"/>
    <w:rsid w:val="002F0636"/>
    <w:rsid w:val="002F3939"/>
    <w:rsid w:val="002F49F2"/>
    <w:rsid w:val="002F5289"/>
    <w:rsid w:val="002F7E32"/>
    <w:rsid w:val="00312399"/>
    <w:rsid w:val="003135AF"/>
    <w:rsid w:val="00316047"/>
    <w:rsid w:val="00316B94"/>
    <w:rsid w:val="00322AD7"/>
    <w:rsid w:val="0033015D"/>
    <w:rsid w:val="00331164"/>
    <w:rsid w:val="00331B42"/>
    <w:rsid w:val="003344EC"/>
    <w:rsid w:val="003363BA"/>
    <w:rsid w:val="00337E9A"/>
    <w:rsid w:val="00341583"/>
    <w:rsid w:val="003440BC"/>
    <w:rsid w:val="0034676E"/>
    <w:rsid w:val="003477AC"/>
    <w:rsid w:val="0035007D"/>
    <w:rsid w:val="00361068"/>
    <w:rsid w:val="0036126D"/>
    <w:rsid w:val="00362542"/>
    <w:rsid w:val="00365A70"/>
    <w:rsid w:val="00366B3E"/>
    <w:rsid w:val="00370699"/>
    <w:rsid w:val="0037232B"/>
    <w:rsid w:val="0038061A"/>
    <w:rsid w:val="003839DE"/>
    <w:rsid w:val="00385C42"/>
    <w:rsid w:val="00390882"/>
    <w:rsid w:val="00394B28"/>
    <w:rsid w:val="003A0747"/>
    <w:rsid w:val="003A0956"/>
    <w:rsid w:val="003B7281"/>
    <w:rsid w:val="003C1D62"/>
    <w:rsid w:val="003C3602"/>
    <w:rsid w:val="003C442F"/>
    <w:rsid w:val="003C6B16"/>
    <w:rsid w:val="003D2AE5"/>
    <w:rsid w:val="003D2C52"/>
    <w:rsid w:val="003D3E1C"/>
    <w:rsid w:val="003D48C3"/>
    <w:rsid w:val="003E278A"/>
    <w:rsid w:val="003E337D"/>
    <w:rsid w:val="003E5EA0"/>
    <w:rsid w:val="003E6EA2"/>
    <w:rsid w:val="003F0DBE"/>
    <w:rsid w:val="003F2E56"/>
    <w:rsid w:val="003F2F2D"/>
    <w:rsid w:val="003F65ED"/>
    <w:rsid w:val="003F6BB4"/>
    <w:rsid w:val="003F7F88"/>
    <w:rsid w:val="00401817"/>
    <w:rsid w:val="00402DEA"/>
    <w:rsid w:val="00404D51"/>
    <w:rsid w:val="00405001"/>
    <w:rsid w:val="00405403"/>
    <w:rsid w:val="004054B8"/>
    <w:rsid w:val="00407793"/>
    <w:rsid w:val="004203D9"/>
    <w:rsid w:val="00421391"/>
    <w:rsid w:val="004219A7"/>
    <w:rsid w:val="004232C9"/>
    <w:rsid w:val="00426085"/>
    <w:rsid w:val="00437533"/>
    <w:rsid w:val="00437BF8"/>
    <w:rsid w:val="0044118A"/>
    <w:rsid w:val="004414C8"/>
    <w:rsid w:val="00444DEA"/>
    <w:rsid w:val="004571EE"/>
    <w:rsid w:val="00465AD4"/>
    <w:rsid w:val="004666F4"/>
    <w:rsid w:val="004711D8"/>
    <w:rsid w:val="00481CC1"/>
    <w:rsid w:val="00481FF8"/>
    <w:rsid w:val="004856B7"/>
    <w:rsid w:val="004911F0"/>
    <w:rsid w:val="0049457B"/>
    <w:rsid w:val="004952DB"/>
    <w:rsid w:val="004954A9"/>
    <w:rsid w:val="004A1FCC"/>
    <w:rsid w:val="004A3A25"/>
    <w:rsid w:val="004A3B67"/>
    <w:rsid w:val="004A5E51"/>
    <w:rsid w:val="004B24E1"/>
    <w:rsid w:val="004B3871"/>
    <w:rsid w:val="004B44D0"/>
    <w:rsid w:val="004B4672"/>
    <w:rsid w:val="004C0016"/>
    <w:rsid w:val="004C4FE4"/>
    <w:rsid w:val="004C639B"/>
    <w:rsid w:val="004D0484"/>
    <w:rsid w:val="004D1C12"/>
    <w:rsid w:val="004D2476"/>
    <w:rsid w:val="004D4872"/>
    <w:rsid w:val="004E6DE2"/>
    <w:rsid w:val="004F0EBA"/>
    <w:rsid w:val="004F3A6F"/>
    <w:rsid w:val="004F695E"/>
    <w:rsid w:val="00502192"/>
    <w:rsid w:val="00502BC8"/>
    <w:rsid w:val="00502E6D"/>
    <w:rsid w:val="005056A4"/>
    <w:rsid w:val="005074DE"/>
    <w:rsid w:val="00511ABC"/>
    <w:rsid w:val="00513720"/>
    <w:rsid w:val="005148A1"/>
    <w:rsid w:val="00515E81"/>
    <w:rsid w:val="0052151F"/>
    <w:rsid w:val="00522246"/>
    <w:rsid w:val="00523579"/>
    <w:rsid w:val="00523C92"/>
    <w:rsid w:val="0052640B"/>
    <w:rsid w:val="00526D04"/>
    <w:rsid w:val="005566CA"/>
    <w:rsid w:val="00556CD0"/>
    <w:rsid w:val="0056132D"/>
    <w:rsid w:val="00562965"/>
    <w:rsid w:val="005640B8"/>
    <w:rsid w:val="00567979"/>
    <w:rsid w:val="00577C72"/>
    <w:rsid w:val="00581E72"/>
    <w:rsid w:val="00583EC9"/>
    <w:rsid w:val="005A3339"/>
    <w:rsid w:val="005A65C4"/>
    <w:rsid w:val="005B15A5"/>
    <w:rsid w:val="005B2B18"/>
    <w:rsid w:val="005B54C2"/>
    <w:rsid w:val="005B7843"/>
    <w:rsid w:val="005B7D7F"/>
    <w:rsid w:val="005C1430"/>
    <w:rsid w:val="005C2414"/>
    <w:rsid w:val="005C3DD9"/>
    <w:rsid w:val="005C4B10"/>
    <w:rsid w:val="005D128C"/>
    <w:rsid w:val="005D152B"/>
    <w:rsid w:val="005D3459"/>
    <w:rsid w:val="005D3D8B"/>
    <w:rsid w:val="005E32BC"/>
    <w:rsid w:val="005E4F1A"/>
    <w:rsid w:val="005E507B"/>
    <w:rsid w:val="005E6578"/>
    <w:rsid w:val="005E711A"/>
    <w:rsid w:val="005F0BA2"/>
    <w:rsid w:val="005F2A41"/>
    <w:rsid w:val="005F2A5E"/>
    <w:rsid w:val="005F41A9"/>
    <w:rsid w:val="005F6560"/>
    <w:rsid w:val="006002FF"/>
    <w:rsid w:val="00603E11"/>
    <w:rsid w:val="00605F0F"/>
    <w:rsid w:val="0060676B"/>
    <w:rsid w:val="006077AD"/>
    <w:rsid w:val="00611A57"/>
    <w:rsid w:val="00611C6F"/>
    <w:rsid w:val="00611E60"/>
    <w:rsid w:val="006142E3"/>
    <w:rsid w:val="00617513"/>
    <w:rsid w:val="0062067D"/>
    <w:rsid w:val="00622BC8"/>
    <w:rsid w:val="00626223"/>
    <w:rsid w:val="00632BBA"/>
    <w:rsid w:val="00633E90"/>
    <w:rsid w:val="00635909"/>
    <w:rsid w:val="006423DD"/>
    <w:rsid w:val="00642CCB"/>
    <w:rsid w:val="00652492"/>
    <w:rsid w:val="00653449"/>
    <w:rsid w:val="0065538B"/>
    <w:rsid w:val="00655717"/>
    <w:rsid w:val="00662300"/>
    <w:rsid w:val="0066689A"/>
    <w:rsid w:val="00671523"/>
    <w:rsid w:val="00672A9B"/>
    <w:rsid w:val="00675B27"/>
    <w:rsid w:val="0067762E"/>
    <w:rsid w:val="00681F91"/>
    <w:rsid w:val="00682132"/>
    <w:rsid w:val="00686CCA"/>
    <w:rsid w:val="00687514"/>
    <w:rsid w:val="00687FD2"/>
    <w:rsid w:val="006905FA"/>
    <w:rsid w:val="00695461"/>
    <w:rsid w:val="0069598B"/>
    <w:rsid w:val="00696B91"/>
    <w:rsid w:val="006A0A91"/>
    <w:rsid w:val="006A1060"/>
    <w:rsid w:val="006A2224"/>
    <w:rsid w:val="006A2703"/>
    <w:rsid w:val="006A3EA4"/>
    <w:rsid w:val="006A5C98"/>
    <w:rsid w:val="006A6B2C"/>
    <w:rsid w:val="006B4D78"/>
    <w:rsid w:val="006B4EEC"/>
    <w:rsid w:val="006B6AE4"/>
    <w:rsid w:val="006C3921"/>
    <w:rsid w:val="006C5D3E"/>
    <w:rsid w:val="006D08D8"/>
    <w:rsid w:val="006D0BDA"/>
    <w:rsid w:val="006D20D5"/>
    <w:rsid w:val="006D7A18"/>
    <w:rsid w:val="006E546C"/>
    <w:rsid w:val="006E68D6"/>
    <w:rsid w:val="006E6967"/>
    <w:rsid w:val="006F218A"/>
    <w:rsid w:val="006F25F4"/>
    <w:rsid w:val="006F4808"/>
    <w:rsid w:val="006F6DDB"/>
    <w:rsid w:val="007037B8"/>
    <w:rsid w:val="00703A71"/>
    <w:rsid w:val="00706084"/>
    <w:rsid w:val="007072C8"/>
    <w:rsid w:val="007124C3"/>
    <w:rsid w:val="0071417C"/>
    <w:rsid w:val="007141D5"/>
    <w:rsid w:val="00736A9E"/>
    <w:rsid w:val="0074237D"/>
    <w:rsid w:val="00745157"/>
    <w:rsid w:val="00746DF0"/>
    <w:rsid w:val="007477FE"/>
    <w:rsid w:val="00752F8D"/>
    <w:rsid w:val="00756921"/>
    <w:rsid w:val="00757580"/>
    <w:rsid w:val="00757756"/>
    <w:rsid w:val="00760B45"/>
    <w:rsid w:val="00762430"/>
    <w:rsid w:val="00764084"/>
    <w:rsid w:val="007678E0"/>
    <w:rsid w:val="00775A63"/>
    <w:rsid w:val="0078094F"/>
    <w:rsid w:val="007825A4"/>
    <w:rsid w:val="007829B0"/>
    <w:rsid w:val="00786480"/>
    <w:rsid w:val="0079027E"/>
    <w:rsid w:val="00791FD8"/>
    <w:rsid w:val="00792519"/>
    <w:rsid w:val="00792533"/>
    <w:rsid w:val="0079303A"/>
    <w:rsid w:val="00794153"/>
    <w:rsid w:val="007948A5"/>
    <w:rsid w:val="00794C8E"/>
    <w:rsid w:val="007964E3"/>
    <w:rsid w:val="00796BBF"/>
    <w:rsid w:val="007A430F"/>
    <w:rsid w:val="007B1638"/>
    <w:rsid w:val="007B76CD"/>
    <w:rsid w:val="007C319E"/>
    <w:rsid w:val="007D1B00"/>
    <w:rsid w:val="007D1D03"/>
    <w:rsid w:val="007D2855"/>
    <w:rsid w:val="007D4FB0"/>
    <w:rsid w:val="007D50C1"/>
    <w:rsid w:val="007D533B"/>
    <w:rsid w:val="007D75C1"/>
    <w:rsid w:val="007E104E"/>
    <w:rsid w:val="007E51CB"/>
    <w:rsid w:val="007F054D"/>
    <w:rsid w:val="007F3B0C"/>
    <w:rsid w:val="007F53F8"/>
    <w:rsid w:val="00800E04"/>
    <w:rsid w:val="008013C3"/>
    <w:rsid w:val="008109AD"/>
    <w:rsid w:val="00810BB5"/>
    <w:rsid w:val="0081108F"/>
    <w:rsid w:val="0081139E"/>
    <w:rsid w:val="00812BC2"/>
    <w:rsid w:val="00815067"/>
    <w:rsid w:val="008236FF"/>
    <w:rsid w:val="00823996"/>
    <w:rsid w:val="00825F35"/>
    <w:rsid w:val="00834170"/>
    <w:rsid w:val="0083457D"/>
    <w:rsid w:val="00837FAA"/>
    <w:rsid w:val="008411C3"/>
    <w:rsid w:val="008415EB"/>
    <w:rsid w:val="008471EA"/>
    <w:rsid w:val="008501CF"/>
    <w:rsid w:val="00854F23"/>
    <w:rsid w:val="00855944"/>
    <w:rsid w:val="00856D2A"/>
    <w:rsid w:val="00857184"/>
    <w:rsid w:val="008575E0"/>
    <w:rsid w:val="00857CC1"/>
    <w:rsid w:val="008600AB"/>
    <w:rsid w:val="00860758"/>
    <w:rsid w:val="008722EC"/>
    <w:rsid w:val="00872D44"/>
    <w:rsid w:val="0088432C"/>
    <w:rsid w:val="00885B6A"/>
    <w:rsid w:val="008903A1"/>
    <w:rsid w:val="008917DB"/>
    <w:rsid w:val="00892199"/>
    <w:rsid w:val="00893847"/>
    <w:rsid w:val="00894CDE"/>
    <w:rsid w:val="00894D5B"/>
    <w:rsid w:val="008974F1"/>
    <w:rsid w:val="008977FD"/>
    <w:rsid w:val="008A08BB"/>
    <w:rsid w:val="008A0D16"/>
    <w:rsid w:val="008A5409"/>
    <w:rsid w:val="008B33EA"/>
    <w:rsid w:val="008C0103"/>
    <w:rsid w:val="008C0672"/>
    <w:rsid w:val="008C2391"/>
    <w:rsid w:val="008C57AD"/>
    <w:rsid w:val="008C5B98"/>
    <w:rsid w:val="008C71D7"/>
    <w:rsid w:val="008D40A5"/>
    <w:rsid w:val="008D4D42"/>
    <w:rsid w:val="008D690A"/>
    <w:rsid w:val="008E192D"/>
    <w:rsid w:val="008E6D44"/>
    <w:rsid w:val="008F6726"/>
    <w:rsid w:val="00900A61"/>
    <w:rsid w:val="00902C88"/>
    <w:rsid w:val="00902CE1"/>
    <w:rsid w:val="00904A56"/>
    <w:rsid w:val="0090506A"/>
    <w:rsid w:val="00906CFE"/>
    <w:rsid w:val="00913D2D"/>
    <w:rsid w:val="00914088"/>
    <w:rsid w:val="009149C5"/>
    <w:rsid w:val="00915A3A"/>
    <w:rsid w:val="00915DCA"/>
    <w:rsid w:val="009170E2"/>
    <w:rsid w:val="00920A5A"/>
    <w:rsid w:val="009215DE"/>
    <w:rsid w:val="009375CC"/>
    <w:rsid w:val="0094081A"/>
    <w:rsid w:val="00942CF9"/>
    <w:rsid w:val="00944C07"/>
    <w:rsid w:val="00946244"/>
    <w:rsid w:val="00947506"/>
    <w:rsid w:val="0095083E"/>
    <w:rsid w:val="00953316"/>
    <w:rsid w:val="00957657"/>
    <w:rsid w:val="00960F32"/>
    <w:rsid w:val="00961B64"/>
    <w:rsid w:val="0096232D"/>
    <w:rsid w:val="00964D80"/>
    <w:rsid w:val="009662BF"/>
    <w:rsid w:val="009744C7"/>
    <w:rsid w:val="00975802"/>
    <w:rsid w:val="00975ABD"/>
    <w:rsid w:val="00980600"/>
    <w:rsid w:val="00980F6F"/>
    <w:rsid w:val="00981650"/>
    <w:rsid w:val="00983321"/>
    <w:rsid w:val="0098618B"/>
    <w:rsid w:val="00992422"/>
    <w:rsid w:val="009934AA"/>
    <w:rsid w:val="00993EEC"/>
    <w:rsid w:val="009974E1"/>
    <w:rsid w:val="009A2129"/>
    <w:rsid w:val="009A3EB4"/>
    <w:rsid w:val="009A7B1E"/>
    <w:rsid w:val="009B3871"/>
    <w:rsid w:val="009B4AAC"/>
    <w:rsid w:val="009B4D59"/>
    <w:rsid w:val="009B6245"/>
    <w:rsid w:val="009C0E92"/>
    <w:rsid w:val="009C3211"/>
    <w:rsid w:val="009C3C68"/>
    <w:rsid w:val="009C4151"/>
    <w:rsid w:val="009C5B07"/>
    <w:rsid w:val="009D1889"/>
    <w:rsid w:val="009D4695"/>
    <w:rsid w:val="009D4DA9"/>
    <w:rsid w:val="009D7999"/>
    <w:rsid w:val="009E0B5D"/>
    <w:rsid w:val="009E13E2"/>
    <w:rsid w:val="009E29B4"/>
    <w:rsid w:val="009E3708"/>
    <w:rsid w:val="009E4415"/>
    <w:rsid w:val="009F0065"/>
    <w:rsid w:val="009F042D"/>
    <w:rsid w:val="009F0EB5"/>
    <w:rsid w:val="009F7C05"/>
    <w:rsid w:val="009F7C63"/>
    <w:rsid w:val="009F7E33"/>
    <w:rsid w:val="00A00298"/>
    <w:rsid w:val="00A01886"/>
    <w:rsid w:val="00A01AE3"/>
    <w:rsid w:val="00A03A28"/>
    <w:rsid w:val="00A05C8E"/>
    <w:rsid w:val="00A05F0D"/>
    <w:rsid w:val="00A07899"/>
    <w:rsid w:val="00A10C8E"/>
    <w:rsid w:val="00A111C3"/>
    <w:rsid w:val="00A1254C"/>
    <w:rsid w:val="00A12BE6"/>
    <w:rsid w:val="00A204FE"/>
    <w:rsid w:val="00A220C4"/>
    <w:rsid w:val="00A22EC7"/>
    <w:rsid w:val="00A315E5"/>
    <w:rsid w:val="00A31A1A"/>
    <w:rsid w:val="00A33D2A"/>
    <w:rsid w:val="00A4764A"/>
    <w:rsid w:val="00A50138"/>
    <w:rsid w:val="00A50F17"/>
    <w:rsid w:val="00A5187A"/>
    <w:rsid w:val="00A52877"/>
    <w:rsid w:val="00A54433"/>
    <w:rsid w:val="00A56780"/>
    <w:rsid w:val="00A6100F"/>
    <w:rsid w:val="00A612C5"/>
    <w:rsid w:val="00A618FC"/>
    <w:rsid w:val="00A632EF"/>
    <w:rsid w:val="00A64083"/>
    <w:rsid w:val="00A659E8"/>
    <w:rsid w:val="00A65B45"/>
    <w:rsid w:val="00A65E0A"/>
    <w:rsid w:val="00A70598"/>
    <w:rsid w:val="00A731B6"/>
    <w:rsid w:val="00A759BF"/>
    <w:rsid w:val="00A76FE5"/>
    <w:rsid w:val="00A80177"/>
    <w:rsid w:val="00A8175B"/>
    <w:rsid w:val="00A82D72"/>
    <w:rsid w:val="00A83056"/>
    <w:rsid w:val="00A87F35"/>
    <w:rsid w:val="00A9000D"/>
    <w:rsid w:val="00A90392"/>
    <w:rsid w:val="00A906DF"/>
    <w:rsid w:val="00A928AB"/>
    <w:rsid w:val="00A95027"/>
    <w:rsid w:val="00A97EE3"/>
    <w:rsid w:val="00AA1A6D"/>
    <w:rsid w:val="00AA1D67"/>
    <w:rsid w:val="00AA30E2"/>
    <w:rsid w:val="00AA46C3"/>
    <w:rsid w:val="00AA4EBB"/>
    <w:rsid w:val="00AB76ED"/>
    <w:rsid w:val="00AC0635"/>
    <w:rsid w:val="00AC5F5B"/>
    <w:rsid w:val="00AC615F"/>
    <w:rsid w:val="00AD3574"/>
    <w:rsid w:val="00AD54ED"/>
    <w:rsid w:val="00AD5A61"/>
    <w:rsid w:val="00AD6135"/>
    <w:rsid w:val="00AE076B"/>
    <w:rsid w:val="00AE0A5E"/>
    <w:rsid w:val="00AE13FC"/>
    <w:rsid w:val="00AE33DB"/>
    <w:rsid w:val="00AE5073"/>
    <w:rsid w:val="00AF0D83"/>
    <w:rsid w:val="00AF49B4"/>
    <w:rsid w:val="00AF7398"/>
    <w:rsid w:val="00B02AA6"/>
    <w:rsid w:val="00B04904"/>
    <w:rsid w:val="00B059E5"/>
    <w:rsid w:val="00B06ED0"/>
    <w:rsid w:val="00B06F3F"/>
    <w:rsid w:val="00B07FD5"/>
    <w:rsid w:val="00B12FD3"/>
    <w:rsid w:val="00B224A4"/>
    <w:rsid w:val="00B25B2B"/>
    <w:rsid w:val="00B30682"/>
    <w:rsid w:val="00B306CF"/>
    <w:rsid w:val="00B30CBB"/>
    <w:rsid w:val="00B30EDE"/>
    <w:rsid w:val="00B318E8"/>
    <w:rsid w:val="00B417B4"/>
    <w:rsid w:val="00B468C1"/>
    <w:rsid w:val="00B46E85"/>
    <w:rsid w:val="00B52112"/>
    <w:rsid w:val="00B52D48"/>
    <w:rsid w:val="00B731E1"/>
    <w:rsid w:val="00B74539"/>
    <w:rsid w:val="00B7472A"/>
    <w:rsid w:val="00B768AA"/>
    <w:rsid w:val="00B8416E"/>
    <w:rsid w:val="00B85615"/>
    <w:rsid w:val="00B8716D"/>
    <w:rsid w:val="00B94F7A"/>
    <w:rsid w:val="00B952BF"/>
    <w:rsid w:val="00BA063C"/>
    <w:rsid w:val="00BA14C1"/>
    <w:rsid w:val="00BB63D7"/>
    <w:rsid w:val="00BB6C0B"/>
    <w:rsid w:val="00BB6CEA"/>
    <w:rsid w:val="00BB6E5A"/>
    <w:rsid w:val="00BC0415"/>
    <w:rsid w:val="00BC0D6A"/>
    <w:rsid w:val="00BC3F44"/>
    <w:rsid w:val="00BC4294"/>
    <w:rsid w:val="00BD0743"/>
    <w:rsid w:val="00BD2747"/>
    <w:rsid w:val="00BD3D54"/>
    <w:rsid w:val="00BD513D"/>
    <w:rsid w:val="00BD545B"/>
    <w:rsid w:val="00BD55C4"/>
    <w:rsid w:val="00BE1DCF"/>
    <w:rsid w:val="00BE4551"/>
    <w:rsid w:val="00BE55B4"/>
    <w:rsid w:val="00BE622D"/>
    <w:rsid w:val="00BE6FD7"/>
    <w:rsid w:val="00BF385C"/>
    <w:rsid w:val="00BF4600"/>
    <w:rsid w:val="00BF47AC"/>
    <w:rsid w:val="00C00E2C"/>
    <w:rsid w:val="00C04D28"/>
    <w:rsid w:val="00C10A74"/>
    <w:rsid w:val="00C12A76"/>
    <w:rsid w:val="00C14C86"/>
    <w:rsid w:val="00C17541"/>
    <w:rsid w:val="00C21803"/>
    <w:rsid w:val="00C22475"/>
    <w:rsid w:val="00C24106"/>
    <w:rsid w:val="00C262D2"/>
    <w:rsid w:val="00C30430"/>
    <w:rsid w:val="00C36BA8"/>
    <w:rsid w:val="00C3789C"/>
    <w:rsid w:val="00C40562"/>
    <w:rsid w:val="00C42CB8"/>
    <w:rsid w:val="00C474A0"/>
    <w:rsid w:val="00C50415"/>
    <w:rsid w:val="00C5346B"/>
    <w:rsid w:val="00C55224"/>
    <w:rsid w:val="00C60FA8"/>
    <w:rsid w:val="00C6244D"/>
    <w:rsid w:val="00C637FE"/>
    <w:rsid w:val="00C65BB5"/>
    <w:rsid w:val="00C674C4"/>
    <w:rsid w:val="00C702A3"/>
    <w:rsid w:val="00C72080"/>
    <w:rsid w:val="00C7539A"/>
    <w:rsid w:val="00C7644D"/>
    <w:rsid w:val="00C805D3"/>
    <w:rsid w:val="00C85445"/>
    <w:rsid w:val="00C86017"/>
    <w:rsid w:val="00C978BB"/>
    <w:rsid w:val="00C97C96"/>
    <w:rsid w:val="00CA3C58"/>
    <w:rsid w:val="00CA4F54"/>
    <w:rsid w:val="00CA7D06"/>
    <w:rsid w:val="00CC3119"/>
    <w:rsid w:val="00CD34D3"/>
    <w:rsid w:val="00CD43FC"/>
    <w:rsid w:val="00CD633D"/>
    <w:rsid w:val="00CD68DA"/>
    <w:rsid w:val="00CD7226"/>
    <w:rsid w:val="00CE13C1"/>
    <w:rsid w:val="00CE3B3A"/>
    <w:rsid w:val="00CE52E0"/>
    <w:rsid w:val="00CE6194"/>
    <w:rsid w:val="00CE68A6"/>
    <w:rsid w:val="00CF17E1"/>
    <w:rsid w:val="00CF2597"/>
    <w:rsid w:val="00CF5276"/>
    <w:rsid w:val="00CF67CA"/>
    <w:rsid w:val="00CF74D2"/>
    <w:rsid w:val="00CF7DFF"/>
    <w:rsid w:val="00D00115"/>
    <w:rsid w:val="00D0128B"/>
    <w:rsid w:val="00D020A1"/>
    <w:rsid w:val="00D023A2"/>
    <w:rsid w:val="00D03B34"/>
    <w:rsid w:val="00D06B52"/>
    <w:rsid w:val="00D07901"/>
    <w:rsid w:val="00D17C47"/>
    <w:rsid w:val="00D255D3"/>
    <w:rsid w:val="00D3440C"/>
    <w:rsid w:val="00D403C1"/>
    <w:rsid w:val="00D43CE6"/>
    <w:rsid w:val="00D44631"/>
    <w:rsid w:val="00D448D5"/>
    <w:rsid w:val="00D4613B"/>
    <w:rsid w:val="00D50553"/>
    <w:rsid w:val="00D519C6"/>
    <w:rsid w:val="00D523BE"/>
    <w:rsid w:val="00D54015"/>
    <w:rsid w:val="00D612BD"/>
    <w:rsid w:val="00D62C4E"/>
    <w:rsid w:val="00D63BD6"/>
    <w:rsid w:val="00D723E8"/>
    <w:rsid w:val="00D7276C"/>
    <w:rsid w:val="00D7349C"/>
    <w:rsid w:val="00D80167"/>
    <w:rsid w:val="00D831A5"/>
    <w:rsid w:val="00D84EE4"/>
    <w:rsid w:val="00D87F6B"/>
    <w:rsid w:val="00D900F0"/>
    <w:rsid w:val="00D92AA7"/>
    <w:rsid w:val="00D94001"/>
    <w:rsid w:val="00D953CE"/>
    <w:rsid w:val="00DA0442"/>
    <w:rsid w:val="00DA2A84"/>
    <w:rsid w:val="00DA43C8"/>
    <w:rsid w:val="00DA5D19"/>
    <w:rsid w:val="00DA72DD"/>
    <w:rsid w:val="00DB1BDA"/>
    <w:rsid w:val="00DB2EA2"/>
    <w:rsid w:val="00DC0C22"/>
    <w:rsid w:val="00DC2188"/>
    <w:rsid w:val="00DC37A2"/>
    <w:rsid w:val="00DC402F"/>
    <w:rsid w:val="00DC76F0"/>
    <w:rsid w:val="00DD0551"/>
    <w:rsid w:val="00DD5383"/>
    <w:rsid w:val="00DD5545"/>
    <w:rsid w:val="00DE19BC"/>
    <w:rsid w:val="00DF0B8A"/>
    <w:rsid w:val="00DF1A8B"/>
    <w:rsid w:val="00DF5E13"/>
    <w:rsid w:val="00E0041E"/>
    <w:rsid w:val="00E03E73"/>
    <w:rsid w:val="00E06255"/>
    <w:rsid w:val="00E10F1A"/>
    <w:rsid w:val="00E137D6"/>
    <w:rsid w:val="00E14707"/>
    <w:rsid w:val="00E14874"/>
    <w:rsid w:val="00E158A9"/>
    <w:rsid w:val="00E2213D"/>
    <w:rsid w:val="00E22481"/>
    <w:rsid w:val="00E2295D"/>
    <w:rsid w:val="00E23C17"/>
    <w:rsid w:val="00E271C6"/>
    <w:rsid w:val="00E329FB"/>
    <w:rsid w:val="00E339E9"/>
    <w:rsid w:val="00E34D55"/>
    <w:rsid w:val="00E431D8"/>
    <w:rsid w:val="00E505B5"/>
    <w:rsid w:val="00E512FC"/>
    <w:rsid w:val="00E53D6D"/>
    <w:rsid w:val="00E5440E"/>
    <w:rsid w:val="00E57E6B"/>
    <w:rsid w:val="00E726CD"/>
    <w:rsid w:val="00E75443"/>
    <w:rsid w:val="00E84BD8"/>
    <w:rsid w:val="00E8713D"/>
    <w:rsid w:val="00E90802"/>
    <w:rsid w:val="00E90AF2"/>
    <w:rsid w:val="00E9268A"/>
    <w:rsid w:val="00E96EE0"/>
    <w:rsid w:val="00EA7690"/>
    <w:rsid w:val="00EB0EBE"/>
    <w:rsid w:val="00EB1C0E"/>
    <w:rsid w:val="00EB38EB"/>
    <w:rsid w:val="00EB4537"/>
    <w:rsid w:val="00EB4961"/>
    <w:rsid w:val="00EB6B93"/>
    <w:rsid w:val="00EC325D"/>
    <w:rsid w:val="00EC3AEB"/>
    <w:rsid w:val="00EC7283"/>
    <w:rsid w:val="00EC7E5A"/>
    <w:rsid w:val="00EC7F7C"/>
    <w:rsid w:val="00ED0346"/>
    <w:rsid w:val="00EF2122"/>
    <w:rsid w:val="00EF3B89"/>
    <w:rsid w:val="00F01BA1"/>
    <w:rsid w:val="00F028B9"/>
    <w:rsid w:val="00F0361D"/>
    <w:rsid w:val="00F04BAF"/>
    <w:rsid w:val="00F04E54"/>
    <w:rsid w:val="00F05C7B"/>
    <w:rsid w:val="00F07672"/>
    <w:rsid w:val="00F07975"/>
    <w:rsid w:val="00F11A1B"/>
    <w:rsid w:val="00F12CD2"/>
    <w:rsid w:val="00F23547"/>
    <w:rsid w:val="00F23E8E"/>
    <w:rsid w:val="00F246DD"/>
    <w:rsid w:val="00F415DD"/>
    <w:rsid w:val="00F46C1C"/>
    <w:rsid w:val="00F53E0D"/>
    <w:rsid w:val="00F6198E"/>
    <w:rsid w:val="00F648B6"/>
    <w:rsid w:val="00F6572E"/>
    <w:rsid w:val="00F65968"/>
    <w:rsid w:val="00F672AD"/>
    <w:rsid w:val="00F67BFB"/>
    <w:rsid w:val="00F709EA"/>
    <w:rsid w:val="00F76336"/>
    <w:rsid w:val="00F76C98"/>
    <w:rsid w:val="00F84069"/>
    <w:rsid w:val="00F85E5D"/>
    <w:rsid w:val="00F873B9"/>
    <w:rsid w:val="00F93434"/>
    <w:rsid w:val="00F9376D"/>
    <w:rsid w:val="00F942FE"/>
    <w:rsid w:val="00F97110"/>
    <w:rsid w:val="00FA3E78"/>
    <w:rsid w:val="00FA4293"/>
    <w:rsid w:val="00FA6DDE"/>
    <w:rsid w:val="00FB09D6"/>
    <w:rsid w:val="00FB430B"/>
    <w:rsid w:val="00FB5D29"/>
    <w:rsid w:val="00FB60C9"/>
    <w:rsid w:val="00FB65D2"/>
    <w:rsid w:val="00FB6EF2"/>
    <w:rsid w:val="00FB6F25"/>
    <w:rsid w:val="00FC1036"/>
    <w:rsid w:val="00FC5F51"/>
    <w:rsid w:val="00FC7177"/>
    <w:rsid w:val="00FD0635"/>
    <w:rsid w:val="00FD2FCF"/>
    <w:rsid w:val="00FD37DF"/>
    <w:rsid w:val="00FD7AB0"/>
    <w:rsid w:val="00FE33B2"/>
    <w:rsid w:val="00FE375F"/>
    <w:rsid w:val="00FE46CF"/>
    <w:rsid w:val="00FE629F"/>
    <w:rsid w:val="00FF360C"/>
    <w:rsid w:val="00FF440D"/>
    <w:rsid w:val="00FF5591"/>
    <w:rsid w:val="00FF61B5"/>
    <w:rsid w:val="00FF6EDF"/>
    <w:rsid w:val="016E03B8"/>
    <w:rsid w:val="017F4E2F"/>
    <w:rsid w:val="01D33EC9"/>
    <w:rsid w:val="028C6D1F"/>
    <w:rsid w:val="02BB4F9B"/>
    <w:rsid w:val="0341273F"/>
    <w:rsid w:val="03426C4A"/>
    <w:rsid w:val="03BB3DD2"/>
    <w:rsid w:val="04222ABD"/>
    <w:rsid w:val="043D1FCF"/>
    <w:rsid w:val="04900D8D"/>
    <w:rsid w:val="04C56765"/>
    <w:rsid w:val="05424E11"/>
    <w:rsid w:val="05C220DB"/>
    <w:rsid w:val="05D15C84"/>
    <w:rsid w:val="05FE22E5"/>
    <w:rsid w:val="068846D2"/>
    <w:rsid w:val="074A55A2"/>
    <w:rsid w:val="0756414A"/>
    <w:rsid w:val="075E1108"/>
    <w:rsid w:val="08A209F6"/>
    <w:rsid w:val="08A40242"/>
    <w:rsid w:val="08F224FC"/>
    <w:rsid w:val="09385C0D"/>
    <w:rsid w:val="09734E97"/>
    <w:rsid w:val="09797D02"/>
    <w:rsid w:val="09BE6923"/>
    <w:rsid w:val="0A2902C8"/>
    <w:rsid w:val="0A324AAA"/>
    <w:rsid w:val="0BF12FA6"/>
    <w:rsid w:val="0D444A95"/>
    <w:rsid w:val="0D5D31CF"/>
    <w:rsid w:val="0D6011BA"/>
    <w:rsid w:val="0E5B1590"/>
    <w:rsid w:val="0F2619EE"/>
    <w:rsid w:val="0F6F2AFC"/>
    <w:rsid w:val="0F84395A"/>
    <w:rsid w:val="0FBF0E36"/>
    <w:rsid w:val="0FE4089C"/>
    <w:rsid w:val="10E8449F"/>
    <w:rsid w:val="110F36F7"/>
    <w:rsid w:val="111B3A42"/>
    <w:rsid w:val="11784403"/>
    <w:rsid w:val="11BC0803"/>
    <w:rsid w:val="11BF511D"/>
    <w:rsid w:val="12275CD4"/>
    <w:rsid w:val="12503FC7"/>
    <w:rsid w:val="12674210"/>
    <w:rsid w:val="1283614B"/>
    <w:rsid w:val="129B4B68"/>
    <w:rsid w:val="131119A8"/>
    <w:rsid w:val="1312588D"/>
    <w:rsid w:val="131C4CCA"/>
    <w:rsid w:val="13814F29"/>
    <w:rsid w:val="13A20852"/>
    <w:rsid w:val="13AD5098"/>
    <w:rsid w:val="1425074A"/>
    <w:rsid w:val="14447B5C"/>
    <w:rsid w:val="1468030C"/>
    <w:rsid w:val="15CA22E2"/>
    <w:rsid w:val="16421E79"/>
    <w:rsid w:val="165774B3"/>
    <w:rsid w:val="16873266"/>
    <w:rsid w:val="169E119F"/>
    <w:rsid w:val="16EA093B"/>
    <w:rsid w:val="178472F0"/>
    <w:rsid w:val="17AD542C"/>
    <w:rsid w:val="1825466A"/>
    <w:rsid w:val="188C39EC"/>
    <w:rsid w:val="18920828"/>
    <w:rsid w:val="18B104F6"/>
    <w:rsid w:val="18CD0120"/>
    <w:rsid w:val="18DC2633"/>
    <w:rsid w:val="1947696E"/>
    <w:rsid w:val="197F03A5"/>
    <w:rsid w:val="19977D8A"/>
    <w:rsid w:val="19B510A7"/>
    <w:rsid w:val="1A894D59"/>
    <w:rsid w:val="1A9A7A10"/>
    <w:rsid w:val="1B097409"/>
    <w:rsid w:val="1B3B5776"/>
    <w:rsid w:val="1CA7753D"/>
    <w:rsid w:val="1CB00C44"/>
    <w:rsid w:val="1D175E0D"/>
    <w:rsid w:val="1D207E22"/>
    <w:rsid w:val="1D4F54B3"/>
    <w:rsid w:val="1DB04217"/>
    <w:rsid w:val="1DB87F24"/>
    <w:rsid w:val="1E171E3D"/>
    <w:rsid w:val="1E7A274D"/>
    <w:rsid w:val="1EAD2CBA"/>
    <w:rsid w:val="1FB262C1"/>
    <w:rsid w:val="1FC41B50"/>
    <w:rsid w:val="20250841"/>
    <w:rsid w:val="206C6470"/>
    <w:rsid w:val="20AF1FF5"/>
    <w:rsid w:val="218F17F3"/>
    <w:rsid w:val="227D32B8"/>
    <w:rsid w:val="22A55ED1"/>
    <w:rsid w:val="22FB0C79"/>
    <w:rsid w:val="23FB7A24"/>
    <w:rsid w:val="244125F8"/>
    <w:rsid w:val="24435F19"/>
    <w:rsid w:val="25622C6E"/>
    <w:rsid w:val="25F56ABE"/>
    <w:rsid w:val="261758A3"/>
    <w:rsid w:val="26211AAB"/>
    <w:rsid w:val="270B6AB4"/>
    <w:rsid w:val="275C189F"/>
    <w:rsid w:val="276E7B33"/>
    <w:rsid w:val="27C05C41"/>
    <w:rsid w:val="28180C8B"/>
    <w:rsid w:val="283E417A"/>
    <w:rsid w:val="286D1C67"/>
    <w:rsid w:val="28BE0636"/>
    <w:rsid w:val="28DD3D03"/>
    <w:rsid w:val="292313E2"/>
    <w:rsid w:val="299E3D1E"/>
    <w:rsid w:val="29C966E1"/>
    <w:rsid w:val="29D82EC3"/>
    <w:rsid w:val="29EC4B61"/>
    <w:rsid w:val="2A165568"/>
    <w:rsid w:val="2B011EAB"/>
    <w:rsid w:val="2B096E96"/>
    <w:rsid w:val="2B193F61"/>
    <w:rsid w:val="2B511B8B"/>
    <w:rsid w:val="2BA40880"/>
    <w:rsid w:val="2C381D25"/>
    <w:rsid w:val="2C5F4CF4"/>
    <w:rsid w:val="2C804AD2"/>
    <w:rsid w:val="2CA321F6"/>
    <w:rsid w:val="2D514154"/>
    <w:rsid w:val="2DB40944"/>
    <w:rsid w:val="2DC7118A"/>
    <w:rsid w:val="2E24482E"/>
    <w:rsid w:val="2E6A61C7"/>
    <w:rsid w:val="2EAB53BD"/>
    <w:rsid w:val="2F225AB6"/>
    <w:rsid w:val="2F990904"/>
    <w:rsid w:val="2FFD7E55"/>
    <w:rsid w:val="300E502E"/>
    <w:rsid w:val="3045398A"/>
    <w:rsid w:val="30766E97"/>
    <w:rsid w:val="307F3F9D"/>
    <w:rsid w:val="30AA3DBF"/>
    <w:rsid w:val="30BB03C5"/>
    <w:rsid w:val="30ED53AB"/>
    <w:rsid w:val="30FF1261"/>
    <w:rsid w:val="310B1E40"/>
    <w:rsid w:val="31200F98"/>
    <w:rsid w:val="312207D1"/>
    <w:rsid w:val="31E344DC"/>
    <w:rsid w:val="31FC0D25"/>
    <w:rsid w:val="325B77E4"/>
    <w:rsid w:val="331F71F2"/>
    <w:rsid w:val="337F1790"/>
    <w:rsid w:val="34174773"/>
    <w:rsid w:val="341F3605"/>
    <w:rsid w:val="342A7C8B"/>
    <w:rsid w:val="34AC3E83"/>
    <w:rsid w:val="34FA3267"/>
    <w:rsid w:val="34FD17BE"/>
    <w:rsid w:val="35275B15"/>
    <w:rsid w:val="3572687E"/>
    <w:rsid w:val="36046C6A"/>
    <w:rsid w:val="362D4E42"/>
    <w:rsid w:val="36314CB7"/>
    <w:rsid w:val="367A0036"/>
    <w:rsid w:val="3709636F"/>
    <w:rsid w:val="377332A3"/>
    <w:rsid w:val="378D44EF"/>
    <w:rsid w:val="38724427"/>
    <w:rsid w:val="38D5602B"/>
    <w:rsid w:val="38DE53D9"/>
    <w:rsid w:val="39761CB6"/>
    <w:rsid w:val="397865C9"/>
    <w:rsid w:val="39882572"/>
    <w:rsid w:val="3A452347"/>
    <w:rsid w:val="3A6D126D"/>
    <w:rsid w:val="3A7900EF"/>
    <w:rsid w:val="3AA24780"/>
    <w:rsid w:val="3AFB06C4"/>
    <w:rsid w:val="3B2479B6"/>
    <w:rsid w:val="3B9B72E7"/>
    <w:rsid w:val="3C591C99"/>
    <w:rsid w:val="3C6B7ACC"/>
    <w:rsid w:val="3CA428D2"/>
    <w:rsid w:val="3CBC3FD1"/>
    <w:rsid w:val="3D1523DB"/>
    <w:rsid w:val="3D441571"/>
    <w:rsid w:val="3E532392"/>
    <w:rsid w:val="3EF9316D"/>
    <w:rsid w:val="3F503F8B"/>
    <w:rsid w:val="3FC80EF9"/>
    <w:rsid w:val="3FE35F47"/>
    <w:rsid w:val="3FF45B7A"/>
    <w:rsid w:val="40300E10"/>
    <w:rsid w:val="40C95C2D"/>
    <w:rsid w:val="410729DB"/>
    <w:rsid w:val="41261ED0"/>
    <w:rsid w:val="41366161"/>
    <w:rsid w:val="41601B51"/>
    <w:rsid w:val="417058D2"/>
    <w:rsid w:val="42A03E01"/>
    <w:rsid w:val="42B2724B"/>
    <w:rsid w:val="42E859D2"/>
    <w:rsid w:val="43052A5C"/>
    <w:rsid w:val="43316B17"/>
    <w:rsid w:val="43643578"/>
    <w:rsid w:val="43B21637"/>
    <w:rsid w:val="44231AC5"/>
    <w:rsid w:val="44535BB0"/>
    <w:rsid w:val="44977A9F"/>
    <w:rsid w:val="450F7693"/>
    <w:rsid w:val="45310D95"/>
    <w:rsid w:val="456406E1"/>
    <w:rsid w:val="45773C6B"/>
    <w:rsid w:val="459312FE"/>
    <w:rsid w:val="45E41C01"/>
    <w:rsid w:val="46064DA0"/>
    <w:rsid w:val="461F1723"/>
    <w:rsid w:val="46862128"/>
    <w:rsid w:val="469860D7"/>
    <w:rsid w:val="47103EDE"/>
    <w:rsid w:val="4799373F"/>
    <w:rsid w:val="488A3A3B"/>
    <w:rsid w:val="48A62F6F"/>
    <w:rsid w:val="48B54790"/>
    <w:rsid w:val="49690EEF"/>
    <w:rsid w:val="49921F9C"/>
    <w:rsid w:val="49AD150E"/>
    <w:rsid w:val="49BA174B"/>
    <w:rsid w:val="49C12FFD"/>
    <w:rsid w:val="49F50FB3"/>
    <w:rsid w:val="49FA4706"/>
    <w:rsid w:val="4AFA44F5"/>
    <w:rsid w:val="4B3729DB"/>
    <w:rsid w:val="4B857541"/>
    <w:rsid w:val="4B8B7843"/>
    <w:rsid w:val="4BF81BBB"/>
    <w:rsid w:val="4C04512F"/>
    <w:rsid w:val="4C2135BD"/>
    <w:rsid w:val="4C3819A9"/>
    <w:rsid w:val="4D483760"/>
    <w:rsid w:val="4DAE2265"/>
    <w:rsid w:val="4E7A78C8"/>
    <w:rsid w:val="4E9A7962"/>
    <w:rsid w:val="4EC51148"/>
    <w:rsid w:val="4EE20E23"/>
    <w:rsid w:val="4EFB63D8"/>
    <w:rsid w:val="5095407C"/>
    <w:rsid w:val="50A76ADE"/>
    <w:rsid w:val="50DF347B"/>
    <w:rsid w:val="5116195C"/>
    <w:rsid w:val="51387B25"/>
    <w:rsid w:val="51855482"/>
    <w:rsid w:val="51966FDB"/>
    <w:rsid w:val="51B45C38"/>
    <w:rsid w:val="51C5272F"/>
    <w:rsid w:val="52852B2A"/>
    <w:rsid w:val="52FF5EAB"/>
    <w:rsid w:val="537D4BBD"/>
    <w:rsid w:val="54076BB8"/>
    <w:rsid w:val="54FF4840"/>
    <w:rsid w:val="55F27534"/>
    <w:rsid w:val="55FA420C"/>
    <w:rsid w:val="56377C6B"/>
    <w:rsid w:val="56680EAC"/>
    <w:rsid w:val="56750423"/>
    <w:rsid w:val="56AB2B47"/>
    <w:rsid w:val="56F91BC2"/>
    <w:rsid w:val="57732103"/>
    <w:rsid w:val="57AB065E"/>
    <w:rsid w:val="57C5394A"/>
    <w:rsid w:val="587F5DD0"/>
    <w:rsid w:val="58873140"/>
    <w:rsid w:val="58902B1E"/>
    <w:rsid w:val="58966C2D"/>
    <w:rsid w:val="594B5E92"/>
    <w:rsid w:val="59514855"/>
    <w:rsid w:val="59554FEC"/>
    <w:rsid w:val="59606C7D"/>
    <w:rsid w:val="59BA1F86"/>
    <w:rsid w:val="59E85675"/>
    <w:rsid w:val="59FB5AAD"/>
    <w:rsid w:val="5A3C5067"/>
    <w:rsid w:val="5A64509A"/>
    <w:rsid w:val="5B0A770A"/>
    <w:rsid w:val="5B871DD5"/>
    <w:rsid w:val="5C0E5723"/>
    <w:rsid w:val="5C892393"/>
    <w:rsid w:val="5C9C6C79"/>
    <w:rsid w:val="5CD07EFA"/>
    <w:rsid w:val="5D550E68"/>
    <w:rsid w:val="5D6D60E4"/>
    <w:rsid w:val="5D997B9D"/>
    <w:rsid w:val="5D9F37AF"/>
    <w:rsid w:val="5DEB7407"/>
    <w:rsid w:val="5DF16916"/>
    <w:rsid w:val="5E146265"/>
    <w:rsid w:val="5EAF0285"/>
    <w:rsid w:val="5F19085B"/>
    <w:rsid w:val="5F7722E3"/>
    <w:rsid w:val="6027123D"/>
    <w:rsid w:val="606D1FC6"/>
    <w:rsid w:val="60CF1B28"/>
    <w:rsid w:val="60E471BC"/>
    <w:rsid w:val="61711E4D"/>
    <w:rsid w:val="617F4DAF"/>
    <w:rsid w:val="61D92C5E"/>
    <w:rsid w:val="62856C87"/>
    <w:rsid w:val="628D3440"/>
    <w:rsid w:val="62BA0D9F"/>
    <w:rsid w:val="62D940F0"/>
    <w:rsid w:val="636C6953"/>
    <w:rsid w:val="64164AF7"/>
    <w:rsid w:val="643D6AD4"/>
    <w:rsid w:val="645B2063"/>
    <w:rsid w:val="64605D1D"/>
    <w:rsid w:val="65B23CD4"/>
    <w:rsid w:val="672B0958"/>
    <w:rsid w:val="673F51E4"/>
    <w:rsid w:val="67673BC2"/>
    <w:rsid w:val="67971D57"/>
    <w:rsid w:val="68785921"/>
    <w:rsid w:val="687E00BB"/>
    <w:rsid w:val="68880F3A"/>
    <w:rsid w:val="6894763A"/>
    <w:rsid w:val="68BF4C81"/>
    <w:rsid w:val="697724B1"/>
    <w:rsid w:val="69DB32EB"/>
    <w:rsid w:val="6A0A0555"/>
    <w:rsid w:val="6AA92C8E"/>
    <w:rsid w:val="6AB01424"/>
    <w:rsid w:val="6B5430DD"/>
    <w:rsid w:val="6B9B0F84"/>
    <w:rsid w:val="6C106A36"/>
    <w:rsid w:val="6C226575"/>
    <w:rsid w:val="6C5D448C"/>
    <w:rsid w:val="6C976DD4"/>
    <w:rsid w:val="6CC07578"/>
    <w:rsid w:val="6CF642E9"/>
    <w:rsid w:val="6D2F5E28"/>
    <w:rsid w:val="6D57712D"/>
    <w:rsid w:val="6D6C7A3C"/>
    <w:rsid w:val="6EC151A6"/>
    <w:rsid w:val="6F3F138F"/>
    <w:rsid w:val="6F9829C4"/>
    <w:rsid w:val="6FA61827"/>
    <w:rsid w:val="6FE56C72"/>
    <w:rsid w:val="7044055E"/>
    <w:rsid w:val="715F4802"/>
    <w:rsid w:val="718863FF"/>
    <w:rsid w:val="71DA44B9"/>
    <w:rsid w:val="71F914A4"/>
    <w:rsid w:val="72C108D6"/>
    <w:rsid w:val="72C33676"/>
    <w:rsid w:val="743A4178"/>
    <w:rsid w:val="74C02CDF"/>
    <w:rsid w:val="74DD4250"/>
    <w:rsid w:val="757A60AE"/>
    <w:rsid w:val="763E2C11"/>
    <w:rsid w:val="76F40A25"/>
    <w:rsid w:val="773F06ED"/>
    <w:rsid w:val="77BA1F52"/>
    <w:rsid w:val="78226184"/>
    <w:rsid w:val="78861CFB"/>
    <w:rsid w:val="78C67032"/>
    <w:rsid w:val="790A6803"/>
    <w:rsid w:val="79220EAB"/>
    <w:rsid w:val="7A24483B"/>
    <w:rsid w:val="7B2A7C2F"/>
    <w:rsid w:val="7B6B64DF"/>
    <w:rsid w:val="7BB46507"/>
    <w:rsid w:val="7BC76580"/>
    <w:rsid w:val="7C61599E"/>
    <w:rsid w:val="7CB73744"/>
    <w:rsid w:val="7CF53B48"/>
    <w:rsid w:val="7D3025F6"/>
    <w:rsid w:val="7D454B83"/>
    <w:rsid w:val="7DAC172C"/>
    <w:rsid w:val="7DAC1D8C"/>
    <w:rsid w:val="7E9C0888"/>
    <w:rsid w:val="7E9F7F90"/>
    <w:rsid w:val="7F863D9B"/>
    <w:rsid w:val="7FAD0043"/>
    <w:rsid w:val="7FD91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semiHidden="0" w:name="heading 4"/>
    <w:lsdException w:qFormat="1" w:uiPriority="9" w:semiHidden="0" w:name="heading 5"/>
    <w:lsdException w:qFormat="1" w:uiPriority="9" w:name="heading 6"/>
    <w:lsdException w:qFormat="1" w:uiPriority="9" w:semiHidden="0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nhideWhenUsed="0" w:uiPriority="39" w:semiHidden="0" w:name="toc 1"/>
    <w:lsdException w:qFormat="1" w:uiPriority="39" w:semiHidden="0" w:name="toc 2"/>
    <w:lsdException w:qFormat="1" w:uiPriority="39" w:semiHidden="0" w:name="toc 3"/>
    <w:lsdException w:qFormat="1" w:uiPriority="39" w:semiHidden="0" w:name="toc 4"/>
    <w:lsdException w:qFormat="1" w:uiPriority="39" w:semiHidden="0" w:name="toc 5"/>
    <w:lsdException w:qFormat="1" w:uiPriority="39" w:semiHidden="0" w:name="toc 6"/>
    <w:lsdException w:qFormat="1" w:uiPriority="39" w:semiHidden="0" w:name="toc 7"/>
    <w:lsdException w:qFormat="1" w:uiPriority="39" w:semiHidden="0" w:name="toc 8"/>
    <w:lsdException w:qFormat="1" w:uiPriority="39" w:semiHidden="0" w:name="toc 9"/>
    <w:lsdException w:uiPriority="99" w:name="Normal Indent"/>
    <w:lsdException w:uiPriority="99" w:name="footnote text"/>
    <w:lsdException w:qFormat="1" w:uiPriority="99" w:semiHidden="0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iPriority="99" w:semiHidden="0" w:name="Body Text"/>
    <w:lsdException w:qFormat="1"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qFormat="1" w:unhideWhenUsed="0" w:uiPriority="0" w:semiHidden="0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qFormat="1" w:unhideWhenUsed="0" w:uiPriority="99" w:semiHidden="0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semiHidden="0" w:name="Balloon Text"/>
    <w:lsdException w:qFormat="1" w:unhideWhenUsed="0" w:uiPriority="99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spacing w:after="200" w:line="276" w:lineRule="auto"/>
    </w:pPr>
    <w:rPr>
      <w:rFonts w:asciiTheme="minorHAnsi" w:hAnsiTheme="minorHAnsi" w:eastAsiaTheme="minorEastAsia" w:cstheme="minorBidi"/>
      <w:sz w:val="22"/>
      <w:szCs w:val="22"/>
      <w:lang w:val="en-US" w:eastAsia="en-US" w:bidi="en-US"/>
    </w:rPr>
  </w:style>
  <w:style w:type="paragraph" w:styleId="2">
    <w:name w:val="heading 1"/>
    <w:basedOn w:val="1"/>
    <w:next w:val="1"/>
    <w:link w:val="47"/>
    <w:autoRedefine/>
    <w:qFormat/>
    <w:uiPriority w:val="9"/>
    <w:pPr>
      <w:keepNext/>
      <w:keepLines/>
      <w:spacing w:before="480" w:after="0"/>
      <w:jc w:val="center"/>
      <w:outlineLvl w:val="0"/>
    </w:pPr>
    <w:rPr>
      <w:rFonts w:ascii="黑体" w:hAnsi="黑体" w:eastAsia="黑体" w:cstheme="majorBidi"/>
      <w:bCs/>
      <w:color w:val="376092" w:themeColor="accent1" w:themeShade="BF"/>
      <w:sz w:val="28"/>
      <w:szCs w:val="28"/>
      <w:lang w:eastAsia="zh-CN"/>
    </w:rPr>
  </w:style>
  <w:style w:type="paragraph" w:styleId="3">
    <w:name w:val="heading 2"/>
    <w:basedOn w:val="1"/>
    <w:next w:val="1"/>
    <w:link w:val="48"/>
    <w:autoRedefine/>
    <w:unhideWhenUsed/>
    <w:qFormat/>
    <w:uiPriority w:val="9"/>
    <w:pPr>
      <w:keepNext/>
      <w:keepLines/>
      <w:spacing w:before="200" w:after="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  <w14:textFill>
        <w14:solidFill>
          <w14:schemeClr w14:val="accent1"/>
        </w14:solidFill>
      </w14:textFill>
    </w:rPr>
  </w:style>
  <w:style w:type="paragraph" w:styleId="4">
    <w:name w:val="heading 3"/>
    <w:basedOn w:val="1"/>
    <w:next w:val="1"/>
    <w:link w:val="49"/>
    <w:autoRedefine/>
    <w:unhideWhenUsed/>
    <w:qFormat/>
    <w:uiPriority w:val="9"/>
    <w:pPr>
      <w:keepNext/>
      <w:keepLines/>
      <w:spacing w:before="200" w:after="0"/>
      <w:outlineLvl w:val="2"/>
    </w:pPr>
    <w:rPr>
      <w:rFonts w:asciiTheme="majorHAnsi" w:hAnsiTheme="majorHAnsi" w:eastAsiaTheme="majorEastAsia" w:cstheme="majorBidi"/>
      <w:b/>
      <w:bCs/>
      <w:color w:val="4F81BD" w:themeColor="accent1"/>
      <w14:textFill>
        <w14:solidFill>
          <w14:schemeClr w14:val="accent1"/>
        </w14:solidFill>
      </w14:textFill>
    </w:rPr>
  </w:style>
  <w:style w:type="paragraph" w:styleId="5">
    <w:name w:val="heading 4"/>
    <w:basedOn w:val="1"/>
    <w:next w:val="1"/>
    <w:link w:val="50"/>
    <w:autoRedefine/>
    <w:unhideWhenUsed/>
    <w:qFormat/>
    <w:uiPriority w:val="9"/>
    <w:pPr>
      <w:keepNext/>
      <w:keepLines/>
      <w:spacing w:before="200" w:after="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paragraph" w:styleId="6">
    <w:name w:val="heading 5"/>
    <w:basedOn w:val="1"/>
    <w:next w:val="1"/>
    <w:link w:val="51"/>
    <w:autoRedefine/>
    <w:unhideWhenUsed/>
    <w:qFormat/>
    <w:uiPriority w:val="9"/>
    <w:pPr>
      <w:keepNext/>
      <w:keepLines/>
      <w:spacing w:before="200" w:after="0"/>
      <w:outlineLvl w:val="4"/>
    </w:pPr>
    <w:rPr>
      <w:rFonts w:asciiTheme="majorHAnsi" w:hAnsiTheme="majorHAnsi" w:eastAsiaTheme="majorEastAsia" w:cstheme="majorBidi"/>
      <w:color w:val="254061" w:themeColor="accent1" w:themeShade="80"/>
    </w:rPr>
  </w:style>
  <w:style w:type="paragraph" w:styleId="7">
    <w:name w:val="heading 6"/>
    <w:basedOn w:val="1"/>
    <w:next w:val="1"/>
    <w:link w:val="52"/>
    <w:autoRedefine/>
    <w:semiHidden/>
    <w:unhideWhenUsed/>
    <w:qFormat/>
    <w:uiPriority w:val="9"/>
    <w:pPr>
      <w:keepNext/>
      <w:keepLines/>
      <w:spacing w:before="200" w:after="0"/>
      <w:outlineLvl w:val="5"/>
    </w:pPr>
    <w:rPr>
      <w:rFonts w:asciiTheme="majorHAnsi" w:hAnsiTheme="majorHAnsi" w:eastAsiaTheme="majorEastAsia" w:cstheme="majorBidi"/>
      <w:i/>
      <w:iCs/>
      <w:color w:val="254061" w:themeColor="accent1" w:themeShade="80"/>
    </w:rPr>
  </w:style>
  <w:style w:type="paragraph" w:styleId="8">
    <w:name w:val="heading 7"/>
    <w:basedOn w:val="1"/>
    <w:next w:val="1"/>
    <w:link w:val="53"/>
    <w:autoRedefine/>
    <w:unhideWhenUsed/>
    <w:qFormat/>
    <w:uiPriority w:val="9"/>
    <w:pPr>
      <w:keepNext/>
      <w:keepLines/>
      <w:spacing w:before="200" w:after="0"/>
      <w:outlineLvl w:val="6"/>
    </w:pPr>
    <w:rPr>
      <w:rFonts w:asciiTheme="majorHAnsi" w:hAnsiTheme="majorHAnsi" w:eastAsiaTheme="majorEastAsia" w:cstheme="majorBidi"/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9">
    <w:name w:val="heading 8"/>
    <w:basedOn w:val="1"/>
    <w:next w:val="1"/>
    <w:link w:val="54"/>
    <w:autoRedefine/>
    <w:semiHidden/>
    <w:unhideWhenUsed/>
    <w:qFormat/>
    <w:uiPriority w:val="9"/>
    <w:pPr>
      <w:keepNext/>
      <w:keepLines/>
      <w:spacing w:before="200" w:after="0"/>
      <w:outlineLvl w:val="7"/>
    </w:pPr>
    <w:rPr>
      <w:rFonts w:asciiTheme="majorHAnsi" w:hAnsiTheme="majorHAnsi" w:eastAsiaTheme="majorEastAsia" w:cstheme="majorBidi"/>
      <w:color w:val="4F81BD" w:themeColor="accent1"/>
      <w:sz w:val="20"/>
      <w:szCs w:val="20"/>
      <w14:textFill>
        <w14:solidFill>
          <w14:schemeClr w14:val="accent1"/>
        </w14:solidFill>
      </w14:textFill>
    </w:rPr>
  </w:style>
  <w:style w:type="paragraph" w:styleId="10">
    <w:name w:val="heading 9"/>
    <w:basedOn w:val="1"/>
    <w:next w:val="1"/>
    <w:link w:val="55"/>
    <w:autoRedefine/>
    <w:semiHidden/>
    <w:unhideWhenUsed/>
    <w:qFormat/>
    <w:uiPriority w:val="9"/>
    <w:pPr>
      <w:keepNext/>
      <w:keepLines/>
      <w:spacing w:before="200" w:after="0"/>
      <w:outlineLvl w:val="8"/>
    </w:pPr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default="1" w:styleId="35">
    <w:name w:val="Default Paragraph Font"/>
    <w:autoRedefine/>
    <w:semiHidden/>
    <w:unhideWhenUsed/>
    <w:qFormat/>
    <w:uiPriority w:val="1"/>
  </w:style>
  <w:style w:type="table" w:default="1" w:styleId="33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toc 7"/>
    <w:basedOn w:val="1"/>
    <w:next w:val="1"/>
    <w:autoRedefine/>
    <w:unhideWhenUsed/>
    <w:qFormat/>
    <w:uiPriority w:val="39"/>
    <w:pPr>
      <w:spacing w:after="0"/>
    </w:pPr>
  </w:style>
  <w:style w:type="paragraph" w:styleId="12">
    <w:name w:val="caption"/>
    <w:basedOn w:val="1"/>
    <w:next w:val="1"/>
    <w:autoRedefine/>
    <w:semiHidden/>
    <w:unhideWhenUsed/>
    <w:qFormat/>
    <w:uiPriority w:val="35"/>
    <w:pPr>
      <w:spacing w:line="240" w:lineRule="auto"/>
    </w:pPr>
    <w:rPr>
      <w:b/>
      <w:bCs/>
      <w:color w:val="4F81BD" w:themeColor="accent1"/>
      <w:sz w:val="18"/>
      <w:szCs w:val="18"/>
      <w14:textFill>
        <w14:solidFill>
          <w14:schemeClr w14:val="accent1"/>
        </w14:solidFill>
      </w14:textFill>
    </w:rPr>
  </w:style>
  <w:style w:type="paragraph" w:styleId="13">
    <w:name w:val="annotation text"/>
    <w:basedOn w:val="1"/>
    <w:link w:val="69"/>
    <w:autoRedefine/>
    <w:unhideWhenUsed/>
    <w:qFormat/>
    <w:uiPriority w:val="99"/>
    <w:pPr>
      <w:widowControl w:val="0"/>
      <w:tabs>
        <w:tab w:val="right" w:leader="dot" w:pos="9471"/>
      </w:tabs>
      <w:autoSpaceDE w:val="0"/>
      <w:autoSpaceDN w:val="0"/>
      <w:adjustRightInd w:val="0"/>
      <w:spacing w:after="0" w:line="400" w:lineRule="exact"/>
      <w:ind w:firstLine="480" w:firstLineChars="200"/>
    </w:pPr>
    <w:rPr>
      <w:rFonts w:ascii="宋体" w:hAnsi="Arial" w:eastAsia="宋体" w:cs="宋体"/>
      <w:sz w:val="24"/>
      <w:szCs w:val="24"/>
      <w:lang w:val="zh-CN" w:eastAsia="zh-CN" w:bidi="ar-SA"/>
    </w:rPr>
  </w:style>
  <w:style w:type="paragraph" w:styleId="14">
    <w:name w:val="Body Text"/>
    <w:basedOn w:val="1"/>
    <w:link w:val="41"/>
    <w:autoRedefine/>
    <w:unhideWhenUsed/>
    <w:qFormat/>
    <w:uiPriority w:val="99"/>
    <w:pPr>
      <w:spacing w:after="120"/>
    </w:pPr>
  </w:style>
  <w:style w:type="paragraph" w:styleId="15">
    <w:name w:val="Body Text Indent"/>
    <w:basedOn w:val="1"/>
    <w:link w:val="76"/>
    <w:autoRedefine/>
    <w:semiHidden/>
    <w:unhideWhenUsed/>
    <w:qFormat/>
    <w:uiPriority w:val="99"/>
    <w:pPr>
      <w:spacing w:after="120"/>
      <w:ind w:left="420" w:leftChars="200"/>
    </w:pPr>
  </w:style>
  <w:style w:type="paragraph" w:styleId="16">
    <w:name w:val="toc 5"/>
    <w:basedOn w:val="1"/>
    <w:next w:val="1"/>
    <w:autoRedefine/>
    <w:unhideWhenUsed/>
    <w:qFormat/>
    <w:uiPriority w:val="39"/>
    <w:pPr>
      <w:spacing w:after="0"/>
    </w:pPr>
  </w:style>
  <w:style w:type="paragraph" w:styleId="17">
    <w:name w:val="toc 3"/>
    <w:basedOn w:val="1"/>
    <w:next w:val="1"/>
    <w:autoRedefine/>
    <w:unhideWhenUsed/>
    <w:qFormat/>
    <w:uiPriority w:val="39"/>
    <w:pPr>
      <w:spacing w:after="0"/>
    </w:pPr>
    <w:rPr>
      <w:smallCaps/>
    </w:rPr>
  </w:style>
  <w:style w:type="paragraph" w:styleId="18">
    <w:name w:val="toc 8"/>
    <w:basedOn w:val="1"/>
    <w:next w:val="1"/>
    <w:autoRedefine/>
    <w:unhideWhenUsed/>
    <w:qFormat/>
    <w:uiPriority w:val="39"/>
    <w:pPr>
      <w:spacing w:after="0"/>
    </w:pPr>
  </w:style>
  <w:style w:type="paragraph" w:styleId="19">
    <w:name w:val="Date"/>
    <w:basedOn w:val="1"/>
    <w:next w:val="1"/>
    <w:link w:val="75"/>
    <w:autoRedefine/>
    <w:semiHidden/>
    <w:unhideWhenUsed/>
    <w:qFormat/>
    <w:uiPriority w:val="99"/>
    <w:pPr>
      <w:ind w:left="100" w:leftChars="2500"/>
    </w:pPr>
  </w:style>
  <w:style w:type="paragraph" w:styleId="20">
    <w:name w:val="Body Text Indent 2"/>
    <w:basedOn w:val="1"/>
    <w:link w:val="40"/>
    <w:autoRedefine/>
    <w:qFormat/>
    <w:uiPriority w:val="0"/>
    <w:pPr>
      <w:spacing w:line="600" w:lineRule="exact"/>
      <w:ind w:firstLine="560" w:firstLineChars="200"/>
    </w:pPr>
    <w:rPr>
      <w:rFonts w:ascii="Times New Roman" w:hAnsi="Times New Roman" w:eastAsia="宋体" w:cs="Times New Roman"/>
      <w:sz w:val="28"/>
      <w:szCs w:val="24"/>
    </w:rPr>
  </w:style>
  <w:style w:type="paragraph" w:styleId="21">
    <w:name w:val="Balloon Text"/>
    <w:basedOn w:val="1"/>
    <w:link w:val="46"/>
    <w:autoRedefine/>
    <w:unhideWhenUsed/>
    <w:qFormat/>
    <w:uiPriority w:val="99"/>
    <w:rPr>
      <w:sz w:val="18"/>
      <w:szCs w:val="18"/>
    </w:rPr>
  </w:style>
  <w:style w:type="paragraph" w:styleId="22">
    <w:name w:val="footer"/>
    <w:basedOn w:val="1"/>
    <w:link w:val="43"/>
    <w:autoRedefine/>
    <w:unhideWhenUsed/>
    <w:qFormat/>
    <w:uiPriority w:val="99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23">
    <w:name w:val="header"/>
    <w:basedOn w:val="1"/>
    <w:link w:val="42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24">
    <w:name w:val="toc 1"/>
    <w:basedOn w:val="1"/>
    <w:next w:val="1"/>
    <w:autoRedefine/>
    <w:qFormat/>
    <w:uiPriority w:val="39"/>
    <w:pPr>
      <w:spacing w:before="360" w:after="360"/>
    </w:pPr>
    <w:rPr>
      <w:b/>
      <w:bCs/>
      <w:caps/>
      <w:u w:val="single"/>
    </w:rPr>
  </w:style>
  <w:style w:type="paragraph" w:styleId="25">
    <w:name w:val="toc 4"/>
    <w:basedOn w:val="1"/>
    <w:next w:val="1"/>
    <w:autoRedefine/>
    <w:unhideWhenUsed/>
    <w:qFormat/>
    <w:uiPriority w:val="39"/>
    <w:pPr>
      <w:spacing w:after="0"/>
    </w:pPr>
  </w:style>
  <w:style w:type="paragraph" w:styleId="26">
    <w:name w:val="Subtitle"/>
    <w:basedOn w:val="1"/>
    <w:next w:val="1"/>
    <w:link w:val="57"/>
    <w:autoRedefine/>
    <w:qFormat/>
    <w:uiPriority w:val="11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14:textFill>
        <w14:solidFill>
          <w14:schemeClr w14:val="accent1"/>
        </w14:solidFill>
      </w14:textFill>
    </w:rPr>
  </w:style>
  <w:style w:type="paragraph" w:styleId="27">
    <w:name w:val="toc 6"/>
    <w:basedOn w:val="1"/>
    <w:next w:val="1"/>
    <w:autoRedefine/>
    <w:unhideWhenUsed/>
    <w:qFormat/>
    <w:uiPriority w:val="39"/>
    <w:pPr>
      <w:spacing w:after="0"/>
    </w:pPr>
  </w:style>
  <w:style w:type="paragraph" w:styleId="28">
    <w:name w:val="toc 2"/>
    <w:basedOn w:val="1"/>
    <w:next w:val="1"/>
    <w:autoRedefine/>
    <w:unhideWhenUsed/>
    <w:qFormat/>
    <w:uiPriority w:val="39"/>
    <w:pPr>
      <w:spacing w:after="0"/>
    </w:pPr>
    <w:rPr>
      <w:b/>
      <w:bCs/>
      <w:smallCaps/>
    </w:rPr>
  </w:style>
  <w:style w:type="paragraph" w:styleId="29">
    <w:name w:val="toc 9"/>
    <w:basedOn w:val="1"/>
    <w:next w:val="1"/>
    <w:autoRedefine/>
    <w:unhideWhenUsed/>
    <w:qFormat/>
    <w:uiPriority w:val="39"/>
    <w:pPr>
      <w:spacing w:after="0"/>
    </w:pPr>
  </w:style>
  <w:style w:type="paragraph" w:styleId="30">
    <w:name w:val="HTML Preformatted"/>
    <w:basedOn w:val="1"/>
    <w:link w:val="77"/>
    <w:autoRedefine/>
    <w:qFormat/>
    <w:uiPriority w:val="99"/>
    <w:pPr>
      <w:widowControl w:val="0"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宋体" w:hAnsi="宋体" w:eastAsia="宋体" w:cs="Times New Roman"/>
      <w:sz w:val="24"/>
      <w:szCs w:val="24"/>
      <w:lang w:eastAsia="zh-CN" w:bidi="ar-SA"/>
    </w:rPr>
  </w:style>
  <w:style w:type="paragraph" w:styleId="31">
    <w:name w:val="Normal (Web)"/>
    <w:basedOn w:val="1"/>
    <w:autoRedefine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styleId="32">
    <w:name w:val="Title"/>
    <w:basedOn w:val="1"/>
    <w:next w:val="1"/>
    <w:link w:val="56"/>
    <w:autoRedefine/>
    <w:qFormat/>
    <w:uiPriority w:val="10"/>
    <w:pPr>
      <w:pBdr>
        <w:bottom w:val="single" w:color="4F81BD" w:themeColor="accent1" w:sz="8" w:space="4"/>
      </w:pBdr>
      <w:spacing w:after="300" w:line="240" w:lineRule="auto"/>
      <w:contextualSpacing/>
    </w:pPr>
    <w:rPr>
      <w:rFonts w:asciiTheme="majorHAnsi" w:hAnsiTheme="majorHAnsi" w:eastAsiaTheme="majorEastAsia" w:cstheme="majorBidi"/>
      <w:color w:val="17375E" w:themeColor="text2" w:themeShade="BF"/>
      <w:spacing w:val="5"/>
      <w:kern w:val="28"/>
      <w:sz w:val="52"/>
      <w:szCs w:val="52"/>
    </w:rPr>
  </w:style>
  <w:style w:type="table" w:styleId="34">
    <w:name w:val="Table Grid"/>
    <w:basedOn w:val="33"/>
    <w:autoRedefine/>
    <w:qFormat/>
    <w:uiPriority w:val="9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36">
    <w:name w:val="Strong"/>
    <w:basedOn w:val="35"/>
    <w:autoRedefine/>
    <w:qFormat/>
    <w:uiPriority w:val="22"/>
    <w:rPr>
      <w:b/>
      <w:bCs/>
    </w:rPr>
  </w:style>
  <w:style w:type="character" w:styleId="37">
    <w:name w:val="page number"/>
    <w:basedOn w:val="35"/>
    <w:autoRedefine/>
    <w:qFormat/>
    <w:uiPriority w:val="0"/>
  </w:style>
  <w:style w:type="character" w:styleId="38">
    <w:name w:val="Emphasis"/>
    <w:basedOn w:val="35"/>
    <w:autoRedefine/>
    <w:qFormat/>
    <w:uiPriority w:val="20"/>
    <w:rPr>
      <w:i/>
      <w:iCs/>
    </w:rPr>
  </w:style>
  <w:style w:type="character" w:styleId="39">
    <w:name w:val="Hyperlink"/>
    <w:basedOn w:val="35"/>
    <w:autoRedefine/>
    <w:unhideWhenUsed/>
    <w:qFormat/>
    <w:uiPriority w:val="99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character" w:customStyle="1" w:styleId="40">
    <w:name w:val="正文文本缩进 2 字符"/>
    <w:basedOn w:val="35"/>
    <w:link w:val="20"/>
    <w:autoRedefine/>
    <w:qFormat/>
    <w:uiPriority w:val="0"/>
    <w:rPr>
      <w:rFonts w:ascii="Times New Roman" w:hAnsi="Times New Roman" w:eastAsia="宋体" w:cs="Times New Roman"/>
      <w:sz w:val="28"/>
      <w:szCs w:val="24"/>
    </w:rPr>
  </w:style>
  <w:style w:type="character" w:customStyle="1" w:styleId="41">
    <w:name w:val="正文文本 字符"/>
    <w:basedOn w:val="35"/>
    <w:link w:val="14"/>
    <w:autoRedefine/>
    <w:qFormat/>
    <w:uiPriority w:val="99"/>
  </w:style>
  <w:style w:type="character" w:customStyle="1" w:styleId="42">
    <w:name w:val="页眉 字符"/>
    <w:basedOn w:val="35"/>
    <w:link w:val="23"/>
    <w:autoRedefine/>
    <w:semiHidden/>
    <w:qFormat/>
    <w:uiPriority w:val="99"/>
    <w:rPr>
      <w:sz w:val="18"/>
      <w:szCs w:val="18"/>
    </w:rPr>
  </w:style>
  <w:style w:type="character" w:customStyle="1" w:styleId="43">
    <w:name w:val="页脚 字符"/>
    <w:basedOn w:val="35"/>
    <w:link w:val="22"/>
    <w:autoRedefine/>
    <w:qFormat/>
    <w:uiPriority w:val="99"/>
    <w:rPr>
      <w:sz w:val="18"/>
      <w:szCs w:val="18"/>
    </w:rPr>
  </w:style>
  <w:style w:type="paragraph" w:styleId="44">
    <w:name w:val="No Spacing"/>
    <w:link w:val="45"/>
    <w:autoRedefine/>
    <w:qFormat/>
    <w:uiPriority w:val="1"/>
    <w:rPr>
      <w:rFonts w:asciiTheme="minorHAnsi" w:hAnsiTheme="minorHAnsi" w:eastAsiaTheme="minorEastAsia" w:cstheme="minorBidi"/>
      <w:sz w:val="22"/>
      <w:szCs w:val="22"/>
      <w:lang w:val="en-US" w:eastAsia="en-US" w:bidi="en-US"/>
    </w:rPr>
  </w:style>
  <w:style w:type="character" w:customStyle="1" w:styleId="45">
    <w:name w:val="无间隔 字符"/>
    <w:basedOn w:val="35"/>
    <w:link w:val="44"/>
    <w:autoRedefine/>
    <w:qFormat/>
    <w:uiPriority w:val="1"/>
  </w:style>
  <w:style w:type="character" w:customStyle="1" w:styleId="46">
    <w:name w:val="批注框文本 字符"/>
    <w:basedOn w:val="35"/>
    <w:link w:val="21"/>
    <w:autoRedefine/>
    <w:semiHidden/>
    <w:qFormat/>
    <w:uiPriority w:val="99"/>
    <w:rPr>
      <w:sz w:val="18"/>
      <w:szCs w:val="18"/>
    </w:rPr>
  </w:style>
  <w:style w:type="character" w:customStyle="1" w:styleId="47">
    <w:name w:val="标题 1 字符"/>
    <w:basedOn w:val="35"/>
    <w:link w:val="2"/>
    <w:autoRedefine/>
    <w:qFormat/>
    <w:uiPriority w:val="9"/>
    <w:rPr>
      <w:rFonts w:ascii="黑体" w:hAnsi="黑体" w:eastAsia="黑体" w:cstheme="majorBidi"/>
      <w:bCs/>
      <w:color w:val="376092" w:themeColor="accent1" w:themeShade="BF"/>
      <w:sz w:val="28"/>
      <w:szCs w:val="28"/>
      <w:lang w:eastAsia="zh-CN"/>
    </w:rPr>
  </w:style>
  <w:style w:type="character" w:customStyle="1" w:styleId="48">
    <w:name w:val="标题 2 字符"/>
    <w:basedOn w:val="35"/>
    <w:link w:val="3"/>
    <w:autoRedefine/>
    <w:qFormat/>
    <w:uiPriority w:val="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  <w14:textFill>
        <w14:solidFill>
          <w14:schemeClr w14:val="accent1"/>
        </w14:solidFill>
      </w14:textFill>
    </w:rPr>
  </w:style>
  <w:style w:type="character" w:customStyle="1" w:styleId="49">
    <w:name w:val="标题 3 字符"/>
    <w:basedOn w:val="35"/>
    <w:link w:val="4"/>
    <w:autoRedefine/>
    <w:qFormat/>
    <w:uiPriority w:val="9"/>
    <w:rPr>
      <w:rFonts w:asciiTheme="majorHAnsi" w:hAnsiTheme="majorHAnsi" w:eastAsiaTheme="majorEastAsia" w:cstheme="majorBidi"/>
      <w:b/>
      <w:b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50">
    <w:name w:val="标题 4 字符"/>
    <w:basedOn w:val="35"/>
    <w:link w:val="5"/>
    <w:autoRedefine/>
    <w:qFormat/>
    <w:uiPriority w:val="9"/>
    <w:rPr>
      <w:rFonts w:asciiTheme="majorHAnsi" w:hAnsiTheme="majorHAnsi" w:eastAsiaTheme="majorEastAsia" w:cstheme="majorBidi"/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51">
    <w:name w:val="标题 5 字符"/>
    <w:basedOn w:val="35"/>
    <w:link w:val="6"/>
    <w:autoRedefine/>
    <w:qFormat/>
    <w:uiPriority w:val="9"/>
    <w:rPr>
      <w:rFonts w:asciiTheme="majorHAnsi" w:hAnsiTheme="majorHAnsi" w:eastAsiaTheme="majorEastAsia" w:cstheme="majorBidi"/>
      <w:color w:val="254061" w:themeColor="accent1" w:themeShade="80"/>
    </w:rPr>
  </w:style>
  <w:style w:type="character" w:customStyle="1" w:styleId="52">
    <w:name w:val="标题 6 字符"/>
    <w:basedOn w:val="35"/>
    <w:link w:val="7"/>
    <w:autoRedefine/>
    <w:qFormat/>
    <w:uiPriority w:val="9"/>
    <w:rPr>
      <w:rFonts w:asciiTheme="majorHAnsi" w:hAnsiTheme="majorHAnsi" w:eastAsiaTheme="majorEastAsia" w:cstheme="majorBidi"/>
      <w:i/>
      <w:iCs/>
      <w:color w:val="254061" w:themeColor="accent1" w:themeShade="80"/>
    </w:rPr>
  </w:style>
  <w:style w:type="character" w:customStyle="1" w:styleId="53">
    <w:name w:val="标题 7 字符"/>
    <w:basedOn w:val="35"/>
    <w:link w:val="8"/>
    <w:autoRedefine/>
    <w:qFormat/>
    <w:uiPriority w:val="9"/>
    <w:rPr>
      <w:rFonts w:asciiTheme="majorHAnsi" w:hAnsiTheme="majorHAnsi" w:eastAsiaTheme="majorEastAsia" w:cstheme="majorBidi"/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54">
    <w:name w:val="标题 8 字符"/>
    <w:basedOn w:val="35"/>
    <w:link w:val="9"/>
    <w:autoRedefine/>
    <w:qFormat/>
    <w:uiPriority w:val="9"/>
    <w:rPr>
      <w:rFonts w:asciiTheme="majorHAnsi" w:hAnsiTheme="majorHAnsi" w:eastAsiaTheme="majorEastAsia" w:cstheme="majorBidi"/>
      <w:color w:val="4F81BD" w:themeColor="accent1"/>
      <w:sz w:val="20"/>
      <w:szCs w:val="20"/>
      <w14:textFill>
        <w14:solidFill>
          <w14:schemeClr w14:val="accent1"/>
        </w14:solidFill>
      </w14:textFill>
    </w:rPr>
  </w:style>
  <w:style w:type="character" w:customStyle="1" w:styleId="55">
    <w:name w:val="标题 9 字符"/>
    <w:basedOn w:val="35"/>
    <w:link w:val="10"/>
    <w:autoRedefine/>
    <w:qFormat/>
    <w:uiPriority w:val="9"/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56">
    <w:name w:val="标题 字符"/>
    <w:basedOn w:val="35"/>
    <w:link w:val="32"/>
    <w:autoRedefine/>
    <w:qFormat/>
    <w:uiPriority w:val="10"/>
    <w:rPr>
      <w:rFonts w:asciiTheme="majorHAnsi" w:hAnsiTheme="majorHAnsi" w:eastAsiaTheme="majorEastAsia" w:cstheme="majorBidi"/>
      <w:color w:val="17375E" w:themeColor="text2" w:themeShade="BF"/>
      <w:spacing w:val="5"/>
      <w:kern w:val="28"/>
      <w:sz w:val="52"/>
      <w:szCs w:val="52"/>
    </w:rPr>
  </w:style>
  <w:style w:type="character" w:customStyle="1" w:styleId="57">
    <w:name w:val="副标题 字符"/>
    <w:basedOn w:val="35"/>
    <w:link w:val="26"/>
    <w:autoRedefine/>
    <w:qFormat/>
    <w:uiPriority w:val="11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14:textFill>
        <w14:solidFill>
          <w14:schemeClr w14:val="accent1"/>
        </w14:solidFill>
      </w14:textFill>
    </w:rPr>
  </w:style>
  <w:style w:type="paragraph" w:styleId="58">
    <w:name w:val="List Paragraph"/>
    <w:basedOn w:val="1"/>
    <w:autoRedefine/>
    <w:qFormat/>
    <w:uiPriority w:val="99"/>
    <w:pPr>
      <w:ind w:left="720"/>
      <w:contextualSpacing/>
    </w:pPr>
  </w:style>
  <w:style w:type="paragraph" w:styleId="59">
    <w:name w:val="Quote"/>
    <w:basedOn w:val="1"/>
    <w:next w:val="1"/>
    <w:link w:val="60"/>
    <w:autoRedefine/>
    <w:qFormat/>
    <w:uiPriority w:val="29"/>
    <w:rPr>
      <w:i/>
      <w:iCs/>
      <w:color w:val="000000" w:themeColor="text1"/>
      <w14:textFill>
        <w14:solidFill>
          <w14:schemeClr w14:val="tx1"/>
        </w14:solidFill>
      </w14:textFill>
    </w:rPr>
  </w:style>
  <w:style w:type="character" w:customStyle="1" w:styleId="60">
    <w:name w:val="引用 字符"/>
    <w:basedOn w:val="35"/>
    <w:link w:val="59"/>
    <w:autoRedefine/>
    <w:qFormat/>
    <w:uiPriority w:val="29"/>
    <w:rPr>
      <w:i/>
      <w:iCs/>
      <w:color w:val="000000" w:themeColor="text1"/>
      <w14:textFill>
        <w14:solidFill>
          <w14:schemeClr w14:val="tx1"/>
        </w14:solidFill>
      </w14:textFill>
    </w:rPr>
  </w:style>
  <w:style w:type="paragraph" w:styleId="61">
    <w:name w:val="Intense Quote"/>
    <w:basedOn w:val="1"/>
    <w:next w:val="1"/>
    <w:link w:val="62"/>
    <w:autoRedefine/>
    <w:qFormat/>
    <w:uiPriority w:val="30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62">
    <w:name w:val="明显引用 字符"/>
    <w:basedOn w:val="35"/>
    <w:link w:val="61"/>
    <w:autoRedefine/>
    <w:qFormat/>
    <w:uiPriority w:val="30"/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63">
    <w:name w:val="不明显强调1"/>
    <w:basedOn w:val="35"/>
    <w:autoRedefine/>
    <w:qFormat/>
    <w:uiPriority w:val="19"/>
    <w:rPr>
      <w:i/>
      <w:iCs/>
      <w:color w:val="808080" w:themeColor="text1" w:themeTint="80"/>
      <w14:textFill>
        <w14:solidFill>
          <w14:schemeClr w14:val="tx1">
            <w14:lumMod w14:val="50000"/>
            <w14:lumOff w14:val="50000"/>
          </w14:schemeClr>
        </w14:solidFill>
      </w14:textFill>
    </w:rPr>
  </w:style>
  <w:style w:type="character" w:customStyle="1" w:styleId="64">
    <w:name w:val="明显强调1"/>
    <w:basedOn w:val="35"/>
    <w:autoRedefine/>
    <w:qFormat/>
    <w:uiPriority w:val="21"/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65">
    <w:name w:val="不明显参考1"/>
    <w:basedOn w:val="35"/>
    <w:autoRedefine/>
    <w:qFormat/>
    <w:uiPriority w:val="31"/>
    <w:rPr>
      <w:smallCaps/>
      <w:color w:val="C0504D" w:themeColor="accent2"/>
      <w:u w:val="single"/>
      <w14:textFill>
        <w14:solidFill>
          <w14:schemeClr w14:val="accent2"/>
        </w14:solidFill>
      </w14:textFill>
    </w:rPr>
  </w:style>
  <w:style w:type="character" w:customStyle="1" w:styleId="66">
    <w:name w:val="明显参考1"/>
    <w:basedOn w:val="35"/>
    <w:autoRedefine/>
    <w:qFormat/>
    <w:uiPriority w:val="32"/>
    <w:rPr>
      <w:b/>
      <w:bCs/>
      <w:smallCaps/>
      <w:color w:val="C0504D" w:themeColor="accent2"/>
      <w:spacing w:val="5"/>
      <w:u w:val="single"/>
      <w14:textFill>
        <w14:solidFill>
          <w14:schemeClr w14:val="accent2"/>
        </w14:solidFill>
      </w14:textFill>
    </w:rPr>
  </w:style>
  <w:style w:type="character" w:customStyle="1" w:styleId="67">
    <w:name w:val="书籍标题1"/>
    <w:basedOn w:val="35"/>
    <w:autoRedefine/>
    <w:qFormat/>
    <w:uiPriority w:val="33"/>
    <w:rPr>
      <w:b/>
      <w:bCs/>
      <w:smallCaps/>
      <w:spacing w:val="5"/>
    </w:rPr>
  </w:style>
  <w:style w:type="paragraph" w:customStyle="1" w:styleId="68">
    <w:name w:val="TOC 标题1"/>
    <w:basedOn w:val="2"/>
    <w:next w:val="1"/>
    <w:autoRedefine/>
    <w:semiHidden/>
    <w:unhideWhenUsed/>
    <w:qFormat/>
    <w:uiPriority w:val="39"/>
    <w:pPr>
      <w:outlineLvl w:val="9"/>
    </w:pPr>
  </w:style>
  <w:style w:type="character" w:customStyle="1" w:styleId="69">
    <w:name w:val="批注文字 字符"/>
    <w:basedOn w:val="35"/>
    <w:link w:val="13"/>
    <w:autoRedefine/>
    <w:qFormat/>
    <w:uiPriority w:val="99"/>
    <w:rPr>
      <w:rFonts w:ascii="宋体" w:hAnsi="Arial" w:eastAsia="宋体" w:cs="宋体"/>
      <w:sz w:val="24"/>
      <w:szCs w:val="24"/>
      <w:lang w:val="zh-CN" w:eastAsia="zh-CN" w:bidi="ar-SA"/>
    </w:rPr>
  </w:style>
  <w:style w:type="paragraph" w:customStyle="1" w:styleId="70">
    <w:name w:val="Normal_15"/>
    <w:autoRedefine/>
    <w:qFormat/>
    <w:uiPriority w:val="0"/>
    <w:pPr>
      <w:spacing w:before="120" w:after="240"/>
      <w:jc w:val="both"/>
    </w:pPr>
    <w:rPr>
      <w:rFonts w:ascii="Calibri" w:hAnsi="Calibri" w:eastAsia="Calibri" w:cs="Times New Roman"/>
      <w:sz w:val="22"/>
      <w:szCs w:val="22"/>
      <w:lang w:val="ru-RU" w:eastAsia="en-US" w:bidi="ar-SA"/>
    </w:rPr>
  </w:style>
  <w:style w:type="paragraph" w:customStyle="1" w:styleId="71">
    <w:name w:val="Char"/>
    <w:basedOn w:val="1"/>
    <w:autoRedefine/>
    <w:qFormat/>
    <w:uiPriority w:val="0"/>
    <w:pPr>
      <w:widowControl w:val="0"/>
      <w:tabs>
        <w:tab w:val="right" w:leader="dot" w:pos="9471"/>
      </w:tabs>
      <w:autoSpaceDE w:val="0"/>
      <w:autoSpaceDN w:val="0"/>
      <w:adjustRightInd w:val="0"/>
      <w:spacing w:after="0" w:line="400" w:lineRule="exact"/>
      <w:ind w:firstLine="480" w:firstLineChars="200"/>
      <w:jc w:val="both"/>
    </w:pPr>
    <w:rPr>
      <w:rFonts w:ascii="Tahoma" w:hAnsi="Tahoma" w:eastAsia="宋体" w:cs="Times New Roman"/>
      <w:sz w:val="24"/>
      <w:szCs w:val="20"/>
      <w:lang w:val="zh-CN" w:eastAsia="zh-CN" w:bidi="ar-SA"/>
    </w:rPr>
  </w:style>
  <w:style w:type="paragraph" w:customStyle="1" w:styleId="72">
    <w:name w:val="xl27"/>
    <w:basedOn w:val="1"/>
    <w:autoRedefine/>
    <w:qFormat/>
    <w:uiPriority w:val="0"/>
    <w:pPr>
      <w:pBdr>
        <w:left w:val="single" w:color="auto" w:sz="8" w:space="0"/>
        <w:bottom w:val="single" w:color="auto" w:sz="4" w:space="0"/>
        <w:right w:val="single" w:color="auto" w:sz="4" w:space="0"/>
      </w:pBdr>
      <w:tabs>
        <w:tab w:val="right" w:leader="dot" w:pos="9471"/>
      </w:tabs>
      <w:autoSpaceDE w:val="0"/>
      <w:autoSpaceDN w:val="0"/>
      <w:adjustRightInd w:val="0"/>
      <w:spacing w:before="100" w:beforeAutospacing="1" w:after="100" w:afterAutospacing="1" w:line="400" w:lineRule="exact"/>
      <w:ind w:firstLine="480" w:firstLineChars="200"/>
      <w:jc w:val="center"/>
    </w:pPr>
    <w:rPr>
      <w:rFonts w:ascii="宋体" w:hAnsi="宋体" w:eastAsia="宋体" w:cs="Times New Roman"/>
      <w:sz w:val="24"/>
      <w:szCs w:val="21"/>
      <w:lang w:val="zh-CN" w:eastAsia="zh-CN" w:bidi="ar-SA"/>
    </w:rPr>
  </w:style>
  <w:style w:type="character" w:customStyle="1" w:styleId="73">
    <w:name w:val="未处理的提及1"/>
    <w:basedOn w:val="35"/>
    <w:autoRedefine/>
    <w:semiHidden/>
    <w:unhideWhenUsed/>
    <w:qFormat/>
    <w:uiPriority w:val="99"/>
    <w:rPr>
      <w:color w:val="605E5C"/>
      <w:shd w:val="clear" w:color="auto" w:fill="E1DFDD"/>
    </w:rPr>
  </w:style>
  <w:style w:type="character" w:customStyle="1" w:styleId="74">
    <w:name w:val="未处理的提及2"/>
    <w:basedOn w:val="35"/>
    <w:autoRedefine/>
    <w:semiHidden/>
    <w:unhideWhenUsed/>
    <w:qFormat/>
    <w:uiPriority w:val="99"/>
    <w:rPr>
      <w:color w:val="605E5C"/>
      <w:shd w:val="clear" w:color="auto" w:fill="E1DFDD"/>
    </w:rPr>
  </w:style>
  <w:style w:type="character" w:customStyle="1" w:styleId="75">
    <w:name w:val="日期 字符"/>
    <w:basedOn w:val="35"/>
    <w:link w:val="19"/>
    <w:autoRedefine/>
    <w:semiHidden/>
    <w:qFormat/>
    <w:uiPriority w:val="99"/>
    <w:rPr>
      <w:rFonts w:asciiTheme="minorHAnsi" w:hAnsiTheme="minorHAnsi" w:eastAsiaTheme="minorEastAsia" w:cstheme="minorBidi"/>
      <w:sz w:val="22"/>
      <w:szCs w:val="22"/>
      <w:lang w:eastAsia="en-US" w:bidi="en-US"/>
    </w:rPr>
  </w:style>
  <w:style w:type="character" w:customStyle="1" w:styleId="76">
    <w:name w:val="正文文本缩进 字符"/>
    <w:basedOn w:val="35"/>
    <w:link w:val="15"/>
    <w:autoRedefine/>
    <w:semiHidden/>
    <w:qFormat/>
    <w:uiPriority w:val="99"/>
    <w:rPr>
      <w:rFonts w:asciiTheme="minorHAnsi" w:hAnsiTheme="minorHAnsi" w:eastAsiaTheme="minorEastAsia" w:cstheme="minorBidi"/>
      <w:sz w:val="22"/>
      <w:szCs w:val="22"/>
      <w:lang w:eastAsia="en-US" w:bidi="en-US"/>
    </w:rPr>
  </w:style>
  <w:style w:type="character" w:customStyle="1" w:styleId="77">
    <w:name w:val="HTML 预设格式 字符"/>
    <w:basedOn w:val="35"/>
    <w:link w:val="30"/>
    <w:autoRedefine/>
    <w:qFormat/>
    <w:uiPriority w:val="99"/>
    <w:rPr>
      <w:rFonts w:ascii="宋体" w:hAnsi="宋体"/>
      <w:sz w:val="24"/>
      <w:szCs w:val="24"/>
    </w:rPr>
  </w:style>
  <w:style w:type="character" w:customStyle="1" w:styleId="78">
    <w:name w:val="font41"/>
    <w:basedOn w:val="35"/>
    <w:autoRedefine/>
    <w:qFormat/>
    <w:uiPriority w:val="0"/>
    <w:rPr>
      <w:rFonts w:hint="eastAsia" w:ascii="黑体" w:hAnsi="宋体" w:eastAsia="黑体" w:cs="黑体"/>
      <w:b/>
      <w:color w:val="000000"/>
      <w:sz w:val="24"/>
      <w:szCs w:val="24"/>
      <w:u w:val="none"/>
    </w:rPr>
  </w:style>
  <w:style w:type="character" w:customStyle="1" w:styleId="79">
    <w:name w:val="NormalCharacter"/>
    <w:autoRedefine/>
    <w:semiHidden/>
    <w:qFormat/>
    <w:uiPriority w:val="0"/>
    <w:rPr>
      <w:rFonts w:asciiTheme="minorHAnsi" w:hAnsiTheme="minorHAnsi" w:eastAsiaTheme="minorEastAsia" w:cstheme="minorBidi"/>
      <w:sz w:val="22"/>
      <w:szCs w:val="22"/>
      <w:lang w:val="en-US" w:eastAsia="en-US" w:bidi="en-US"/>
    </w:rPr>
  </w:style>
  <w:style w:type="character" w:customStyle="1" w:styleId="80">
    <w:name w:val="font31"/>
    <w:basedOn w:val="35"/>
    <w:autoRedefine/>
    <w:qFormat/>
    <w:uiPriority w:val="0"/>
    <w:rPr>
      <w:rFonts w:hint="eastAsia" w:ascii="宋体" w:hAnsi="宋体" w:eastAsia="宋体" w:cs="宋体"/>
      <w:b/>
      <w:bCs/>
      <w:color w:val="000000"/>
      <w:sz w:val="20"/>
      <w:szCs w:val="20"/>
      <w:u w:val="none"/>
    </w:rPr>
  </w:style>
  <w:style w:type="character" w:customStyle="1" w:styleId="81">
    <w:name w:val="font71"/>
    <w:basedOn w:val="35"/>
    <w:autoRedefine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character" w:customStyle="1" w:styleId="82">
    <w:name w:val="font51"/>
    <w:basedOn w:val="35"/>
    <w:autoRedefine/>
    <w:qFormat/>
    <w:uiPriority w:val="0"/>
    <w:rPr>
      <w:rFonts w:hint="eastAsia" w:ascii="宋体" w:hAnsi="宋体" w:eastAsia="宋体" w:cs="宋体"/>
      <w:b/>
      <w:bCs/>
      <w:color w:val="000000"/>
      <w:sz w:val="20"/>
      <w:szCs w:val="20"/>
      <w:u w:val="none"/>
    </w:rPr>
  </w:style>
  <w:style w:type="character" w:customStyle="1" w:styleId="83">
    <w:name w:val="font61"/>
    <w:basedOn w:val="35"/>
    <w:autoRedefine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  <w:style w:type="paragraph" w:customStyle="1" w:styleId="84">
    <w:name w:val="封面标准号2"/>
    <w:autoRedefine/>
    <w:qFormat/>
    <w:uiPriority w:val="0"/>
    <w:pPr>
      <w:spacing w:before="357" w:line="280" w:lineRule="exact"/>
      <w:jc w:val="right"/>
    </w:pPr>
    <w:rPr>
      <w:rFonts w:ascii="黑体" w:hAnsi="Times New Roman" w:eastAsia="黑体" w:cs="Times New Roman"/>
      <w:sz w:val="28"/>
      <w:szCs w:val="28"/>
      <w:lang w:val="en-US" w:eastAsia="zh-CN" w:bidi="ar-SA"/>
    </w:rPr>
  </w:style>
  <w:style w:type="paragraph" w:customStyle="1" w:styleId="85">
    <w:name w:val="HtmlNormal"/>
    <w:basedOn w:val="1"/>
    <w:qFormat/>
    <w:uiPriority w:val="0"/>
    <w:pPr>
      <w:spacing w:before="100" w:beforeAutospacing="1" w:after="100" w:afterAutospacing="1"/>
      <w:jc w:val="left"/>
    </w:pPr>
    <w:rPr>
      <w:rFonts w:ascii="宋体" w:hAnsi="宋体"/>
      <w:kern w:val="0"/>
      <w:sz w:val="24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2.xml"/><Relationship Id="rId7" Type="http://schemas.openxmlformats.org/officeDocument/2006/relationships/footer" Target="footer1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4" Type="http://schemas.openxmlformats.org/officeDocument/2006/relationships/fontTable" Target="fontTable.xml"/><Relationship Id="rId13" Type="http://schemas.openxmlformats.org/officeDocument/2006/relationships/customXml" Target="../customXml/item3.xml"/><Relationship Id="rId12" Type="http://schemas.openxmlformats.org/officeDocument/2006/relationships/customXml" Target="../customXml/item2.xml"/><Relationship Id="rId11" Type="http://schemas.openxmlformats.org/officeDocument/2006/relationships/numbering" Target="numbering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CoverPageProperties xmlns="http://schemas.microsoft.com/office/2006/coverPageProps">
  <PublishDate>2017-03-26T00:00:00</PublishDate>
  <Abstract/>
  <CompanyAddress/>
  <CompanyPhone/>
  <CompanyFax/>
  <CompanyEmail/>
</CoverPage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55AF091B-3C7A-41E3-B477-F2FDAA23CFDA}">
  <ds:schemaRefs/>
</ds:datastoreItem>
</file>

<file path=customXml/itemProps3.xml><?xml version="1.0" encoding="utf-8"?>
<ds:datastoreItem xmlns:ds="http://schemas.openxmlformats.org/officeDocument/2006/customXml" ds:itemID="{5D8467D6-0FA2-442E-ABE4-3481FAB6AFD9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4</Pages>
  <Words>25392</Words>
  <Characters>27562</Characters>
  <Lines>212</Lines>
  <Paragraphs>59</Paragraphs>
  <TotalTime>6</TotalTime>
  <ScaleCrop>false</ScaleCrop>
  <LinksUpToDate>false</LinksUpToDate>
  <CharactersWithSpaces>30644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2021-12-29T03:35:00Z</dcterms:created>
  <dc:creator>xcg</dc:creator>
  <cp:lastModifiedBy>唐文亮</cp:lastModifiedBy>
  <cp:lastPrinted>2021-12-29T08:47:00Z</cp:lastPrinted>
  <dcterms:modified xsi:type="dcterms:W3CDTF">2024-07-10T06:24:44Z</dcterms:modified>
  <dc:title>四川沱牌贸易有限公司酿酒原粮（小麦）采购招标文件</dc:title>
  <cp:revision>32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A024C43EF0444ABB9FCE0F831F0C607D_13</vt:lpwstr>
  </property>
</Properties>
</file>