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lang w:val="en-US" w:eastAsia="zh-CN"/>
        </w:rPr>
        <w:t>项目名称</w:t>
      </w:r>
      <w:r>
        <w:rPr>
          <w:rFonts w:hint="eastAsia" w:ascii="仿宋" w:hAnsi="仿宋" w:eastAsia="仿宋"/>
          <w:sz w:val="32"/>
          <w:szCs w:val="32"/>
        </w:rPr>
        <w:t>：</w:t>
      </w:r>
      <w:r>
        <w:rPr>
          <w:rFonts w:hint="eastAsia" w:ascii="仿宋" w:hAnsi="仿宋" w:eastAsia="仿宋"/>
          <w:sz w:val="32"/>
          <w:szCs w:val="32"/>
          <w:lang w:eastAsia="zh-CN"/>
        </w:rPr>
        <w:t>2024年沱牌酒80周年新媒体精准传播项目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_Toc24835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_Toc24835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_Toc28627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_Toc28627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_Toc28456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_Toc28456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_Toc14158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_Toc14158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_Toc28700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_Toc28700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_Toc9951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_Toc9951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_Toc24635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_Toc24635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_Toc22444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_Toc22444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_Toc4480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_Toc4480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_Toc9086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_Toc9086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_Toc3909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_Toc3909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_Toc1564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_Toc1564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_Toc21698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_Toc21698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_Toc27200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_Toc27200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_Toc5281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_Toc5281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w:t>
      </w:r>
      <w:r>
        <w:rPr>
          <w:rFonts w:hint="eastAsia" w:ascii="仿宋" w:hAnsi="仿宋" w:eastAsia="仿宋" w:cs="仿宋"/>
          <w:b/>
          <w:bCs/>
          <w:color w:val="FF0000"/>
          <w:sz w:val="28"/>
          <w:szCs w:val="36"/>
          <w:lang w:val="en-US" w:eastAsia="zh-CN"/>
        </w:rPr>
        <w:t>说明</w:t>
      </w:r>
      <w:r>
        <w:rPr>
          <w:rFonts w:hint="eastAsia" w:ascii="仿宋" w:hAnsi="仿宋" w:eastAsia="仿宋" w:cs="仿宋"/>
          <w:b/>
          <w:bCs/>
          <w:color w:val="FF0000"/>
          <w:sz w:val="28"/>
          <w:szCs w:val="36"/>
        </w:rPr>
        <w:t>：</w:t>
      </w:r>
    </w:p>
    <w:p>
      <w:pPr>
        <w:pStyle w:val="17"/>
        <w:numPr>
          <w:ilvl w:val="0"/>
          <w:numId w:val="2"/>
        </w:numPr>
        <w:rPr>
          <w:rFonts w:ascii="仿宋" w:hAnsi="仿宋" w:eastAsia="仿宋"/>
        </w:rPr>
      </w:pPr>
      <w:r>
        <w:rPr>
          <w:rFonts w:hint="eastAsia" w:ascii="仿宋" w:hAnsi="仿宋" w:eastAsia="仿宋"/>
        </w:rPr>
        <w:t>请按要求</w:t>
      </w:r>
      <w:r>
        <w:rPr>
          <w:rFonts w:hint="eastAsia" w:ascii="仿宋" w:hAnsi="仿宋" w:eastAsia="仿宋"/>
          <w:lang w:val="en-US" w:eastAsia="zh-CN"/>
        </w:rPr>
        <w:t>将资料集中汇总在本文件内。</w:t>
      </w:r>
      <w:r>
        <w:rPr>
          <w:rFonts w:hint="eastAsia" w:ascii="仿宋" w:hAnsi="仿宋" w:eastAsia="仿宋"/>
        </w:rPr>
        <w:t>本</w:t>
      </w:r>
      <w:r>
        <w:rPr>
          <w:rFonts w:hint="eastAsia" w:ascii="仿宋" w:hAnsi="仿宋" w:eastAsia="仿宋"/>
          <w:lang w:val="en-US" w:eastAsia="zh-CN"/>
        </w:rPr>
        <w:t>文件</w:t>
      </w:r>
      <w:r>
        <w:rPr>
          <w:rFonts w:hint="eastAsia" w:ascii="仿宋" w:hAnsi="仿宋" w:eastAsia="仿宋"/>
        </w:rPr>
        <w:t>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495" w:firstLineChars="176"/>
        <w:rPr>
          <w:rFonts w:ascii="仿宋" w:hAnsi="仿宋"/>
          <w:sz w:val="28"/>
          <w:szCs w:val="28"/>
        </w:rPr>
      </w:pPr>
      <w:bookmarkStart w:id="0" w:name="_Toc24835"/>
      <w:r>
        <w:rPr>
          <w:rFonts w:hint="eastAsia" w:ascii="仿宋" w:hAnsi="仿宋"/>
          <w:sz w:val="28"/>
          <w:szCs w:val="28"/>
        </w:rPr>
        <w:t>采购项目供应商资格审核明细表</w:t>
      </w:r>
      <w:bookmarkEnd w:id="0"/>
      <w:bookmarkStart w:id="17" w:name="_GoBack"/>
      <w:bookmarkEnd w:id="17"/>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8627"/>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8456"/>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2024年沱牌酒80周年新媒体精准传播项目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14158"/>
      <w:r>
        <w:rPr>
          <w:rFonts w:hint="eastAsia" w:ascii="仿宋" w:hAnsi="仿宋"/>
        </w:rPr>
        <w:t>被委托人社保缴纳证明</w:t>
      </w:r>
      <w:bookmarkEnd w:id="3"/>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numPr>
          <w:ilvl w:val="0"/>
          <w:numId w:val="1"/>
        </w:numPr>
        <w:rPr>
          <w:rFonts w:ascii="仿宋" w:hAnsi="仿宋"/>
        </w:rPr>
      </w:pPr>
      <w:bookmarkStart w:id="4" w:name="_Toc28700"/>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2024年沱牌酒80周年新媒体精准传播项目</w:t>
      </w:r>
      <w:r>
        <w:rPr>
          <w:rFonts w:hint="eastAsia" w:ascii="仿宋" w:hAnsi="仿宋" w:eastAsia="仿宋"/>
          <w:u w:val="single"/>
        </w:rPr>
        <w:t>）</w:t>
      </w:r>
      <w:r>
        <w:rPr>
          <w:rFonts w:hint="eastAsia" w:ascii="仿宋" w:hAnsi="仿宋" w:eastAsia="仿宋"/>
        </w:rPr>
        <w:t>招投标，我公司承诺：</w:t>
      </w:r>
      <w:r>
        <w:rPr>
          <w:rFonts w:hint="eastAsia" w:ascii="仿宋" w:hAnsi="仿宋" w:eastAsia="仿宋"/>
          <w:i w:val="0"/>
          <w:iCs w:val="0"/>
          <w:highlight w:val="none"/>
          <w:u w:val="non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9951"/>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4635"/>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法定代表人或授权代表签字：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22444"/>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4480"/>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9086"/>
      <w:r>
        <w:rPr>
          <w:rFonts w:hint="eastAsia" w:ascii="仿宋" w:hAnsi="仿宋"/>
        </w:rPr>
        <w:t>实缴资本证明</w:t>
      </w:r>
      <w:bookmarkEnd w:id="9"/>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w:t>
      </w:r>
      <w:r>
        <w:rPr>
          <w:rFonts w:hint="eastAsia" w:ascii="仿宋" w:hAnsi="仿宋" w:eastAsia="仿宋"/>
          <w:sz w:val="24"/>
          <w:lang w:val="en-US" w:eastAsia="zh-CN" w:bidi="en-US"/>
        </w:rPr>
        <w:t>提供</w:t>
      </w:r>
      <w:r>
        <w:rPr>
          <w:rFonts w:hint="eastAsia" w:ascii="仿宋" w:hAnsi="仿宋" w:eastAsia="仿宋"/>
          <w:sz w:val="24"/>
          <w:lang w:bidi="en-US"/>
        </w:rPr>
        <w:t>验资报告及转款依据）</w:t>
      </w:r>
    </w:p>
    <w:p>
      <w:pPr>
        <w:rPr>
          <w:rFonts w:ascii="仿宋" w:hAnsi="仿宋" w:eastAsia="仿宋"/>
          <w:lang w:bidi="en-US"/>
        </w:rPr>
      </w:pPr>
    </w:p>
    <w:p>
      <w:pPr>
        <w:pStyle w:val="2"/>
        <w:numPr>
          <w:ilvl w:val="0"/>
          <w:numId w:val="1"/>
        </w:numPr>
        <w:rPr>
          <w:rFonts w:ascii="仿宋" w:hAnsi="仿宋"/>
        </w:rPr>
      </w:pPr>
      <w:bookmarkStart w:id="10" w:name="_Toc3909"/>
      <w:r>
        <w:rPr>
          <w:rFonts w:hint="eastAsia" w:ascii="仿宋" w:hAnsi="仿宋"/>
        </w:rPr>
        <w:t>财务状况</w:t>
      </w:r>
      <w:bookmarkEnd w:id="10"/>
    </w:p>
    <w:p>
      <w:pPr>
        <w:tabs>
          <w:tab w:val="right" w:leader="dot" w:pos="9471"/>
        </w:tabs>
        <w:adjustRightInd w:val="0"/>
        <w:snapToGrid w:val="0"/>
        <w:spacing w:line="360" w:lineRule="auto"/>
        <w:rPr>
          <w:rFonts w:hint="eastAsia" w:ascii="仿宋" w:hAnsi="仿宋" w:eastAsia="仿宋"/>
          <w:sz w:val="24"/>
          <w:lang w:eastAsia="zh-CN"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w:t>
      </w:r>
      <w:r>
        <w:rPr>
          <w:rFonts w:hint="eastAsia" w:ascii="仿宋" w:hAnsi="仿宋" w:eastAsia="仿宋"/>
          <w:sz w:val="24"/>
          <w:lang w:val="en-US" w:eastAsia="zh-CN" w:bidi="en-US"/>
        </w:rPr>
        <w:t>财务三表（</w:t>
      </w:r>
      <w:r>
        <w:rPr>
          <w:rFonts w:hint="eastAsia" w:ascii="仿宋" w:hAnsi="仿宋" w:eastAsia="仿宋"/>
          <w:sz w:val="24"/>
          <w:lang w:bidi="en-US"/>
        </w:rPr>
        <w:t>资产负债表、现金流量表、利润表</w:t>
      </w:r>
      <w:r>
        <w:rPr>
          <w:rFonts w:hint="eastAsia" w:ascii="仿宋" w:hAnsi="仿宋" w:eastAsia="仿宋"/>
          <w:sz w:val="24"/>
          <w:lang w:eastAsia="zh-CN" w:bidi="en-US"/>
        </w:rPr>
        <w:t>）</w:t>
      </w:r>
    </w:p>
    <w:p>
      <w:pPr>
        <w:rPr>
          <w:rFonts w:ascii="仿宋" w:hAnsi="仿宋" w:eastAsia="仿宋"/>
        </w:rPr>
      </w:pPr>
    </w:p>
    <w:p>
      <w:pPr>
        <w:pStyle w:val="2"/>
        <w:numPr>
          <w:ilvl w:val="0"/>
          <w:numId w:val="1"/>
        </w:numPr>
        <w:rPr>
          <w:rFonts w:ascii="仿宋" w:hAnsi="仿宋"/>
        </w:rPr>
      </w:pPr>
      <w:bookmarkStart w:id="11" w:name="_Toc1564"/>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cs="宋体"/>
          <w:kern w:val="0"/>
          <w:sz w:val="22"/>
          <w:szCs w:val="21"/>
        </w:rPr>
        <w:t>应具备丰富的新媒体精准投放项目相关的执行经验，服务过国内外知名品牌，高端烈性酒类饮品优先。能提供5年内（2019年-至今）不少于3例新媒体精准投放项目执行经验案例。单个案例合同金额不少于200万元。</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21698"/>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提供完整合同，合同的首页、盖章页及能体现合同服务内容</w:t>
      </w:r>
      <w:r>
        <w:rPr>
          <w:rFonts w:hint="eastAsia" w:ascii="仿宋" w:hAnsi="仿宋" w:eastAsia="仿宋"/>
          <w:sz w:val="24"/>
          <w:lang w:val="en-US" w:eastAsia="zh-CN" w:bidi="en-US"/>
        </w:rPr>
        <w:t>及附件明细</w:t>
      </w:r>
      <w:r>
        <w:rPr>
          <w:rFonts w:hint="eastAsia" w:ascii="仿宋" w:hAnsi="仿宋" w:eastAsia="仿宋"/>
          <w:sz w:val="24"/>
          <w:lang w:bidi="en-US"/>
        </w:rPr>
        <w:t>、金额等与本项目相关部分可见</w:t>
      </w:r>
      <w:r>
        <w:rPr>
          <w:rFonts w:hint="eastAsia" w:ascii="仿宋" w:hAnsi="仿宋" w:eastAsia="仿宋"/>
          <w:sz w:val="24"/>
          <w:lang w:eastAsia="zh-CN" w:bidi="en-US"/>
        </w:rPr>
        <w:t>。</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须提供业绩合同对应发票</w:t>
      </w:r>
      <w:r>
        <w:rPr>
          <w:rFonts w:hint="eastAsia" w:ascii="仿宋" w:hAnsi="仿宋" w:eastAsia="仿宋"/>
          <w:sz w:val="24"/>
          <w:lang w:eastAsia="zh-CN" w:bidi="en-US"/>
        </w:rPr>
        <w:t>，</w:t>
      </w:r>
      <w:r>
        <w:rPr>
          <w:rFonts w:hint="eastAsia" w:ascii="仿宋" w:hAnsi="仿宋" w:eastAsia="仿宋"/>
          <w:sz w:val="24"/>
          <w:lang w:val="en-US" w:eastAsia="zh-CN" w:bidi="en-US"/>
        </w:rPr>
        <w:t>发票编码及内容必须清晰可见</w:t>
      </w:r>
      <w:r>
        <w:rPr>
          <w:rFonts w:hint="eastAsia" w:ascii="仿宋" w:hAnsi="仿宋" w:eastAsia="仿宋"/>
          <w:sz w:val="24"/>
          <w:lang w:bidi="en-US"/>
        </w:rPr>
        <w:t>。格式如下：</w:t>
      </w:r>
    </w:p>
    <w:p>
      <w:pPr>
        <w:pStyle w:val="2"/>
      </w:pPr>
    </w:p>
    <w:p>
      <w:pPr>
        <w:pBdr>
          <w:top w:val="single" w:color="auto" w:sz="4" w:space="0"/>
          <w:left w:val="single" w:color="auto" w:sz="4" w:space="0"/>
          <w:bottom w:val="single" w:color="auto" w:sz="4" w:space="0"/>
          <w:right w:val="single" w:color="auto" w:sz="4" w:space="0"/>
        </w:pBd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pBdr>
          <w:top w:val="single" w:color="auto" w:sz="4" w:space="0"/>
          <w:left w:val="single" w:color="auto" w:sz="4" w:space="0"/>
          <w:bottom w:val="single" w:color="auto" w:sz="4" w:space="0"/>
          <w:right w:val="single" w:color="auto" w:sz="4" w:space="0"/>
        </w:pBd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pBdr>
          <w:top w:val="single" w:color="auto" w:sz="4" w:space="0"/>
          <w:left w:val="single" w:color="auto" w:sz="4" w:space="0"/>
          <w:bottom w:val="single" w:color="auto" w:sz="4" w:space="0"/>
          <w:right w:val="single" w:color="auto" w:sz="4" w:space="0"/>
        </w:pBdr>
        <w:tabs>
          <w:tab w:val="right" w:leader="dot" w:pos="9471"/>
        </w:tabs>
        <w:adjustRightInd w:val="0"/>
        <w:snapToGrid w:val="0"/>
        <w:spacing w:line="360" w:lineRule="auto"/>
        <w:ind w:firstLine="480" w:firstLineChars="200"/>
        <w:rPr>
          <w:rFonts w:ascii="仿宋" w:hAnsi="仿宋" w:eastAsia="仿宋"/>
          <w:sz w:val="24"/>
          <w:lang w:bidi="en-US"/>
        </w:rPr>
      </w:pPr>
    </w:p>
    <w:p>
      <w:pPr>
        <w:pBdr>
          <w:top w:val="single" w:color="auto" w:sz="4" w:space="0"/>
          <w:left w:val="single" w:color="auto" w:sz="4" w:space="0"/>
          <w:bottom w:val="single" w:color="auto" w:sz="4" w:space="0"/>
          <w:right w:val="single" w:color="auto" w:sz="4" w:space="0"/>
        </w:pBd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pBdr>
          <w:top w:val="single" w:color="auto" w:sz="4" w:space="0"/>
          <w:left w:val="single" w:color="auto" w:sz="4" w:space="0"/>
          <w:bottom w:val="single" w:color="auto" w:sz="4" w:space="0"/>
          <w:right w:val="single" w:color="auto" w:sz="4" w:space="0"/>
        </w:pBd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3" w:name="_Toc27200"/>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6" w:name="_Toc5281"/>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9A4077"/>
    <w:rsid w:val="06AC0092"/>
    <w:rsid w:val="0CAD0B28"/>
    <w:rsid w:val="0F994590"/>
    <w:rsid w:val="0F996659"/>
    <w:rsid w:val="129E6A1B"/>
    <w:rsid w:val="157F5180"/>
    <w:rsid w:val="15EB0F89"/>
    <w:rsid w:val="1D161399"/>
    <w:rsid w:val="1EDE59FD"/>
    <w:rsid w:val="23643446"/>
    <w:rsid w:val="24A55FD9"/>
    <w:rsid w:val="253B4663"/>
    <w:rsid w:val="266B71CA"/>
    <w:rsid w:val="277E70DA"/>
    <w:rsid w:val="2B3E5046"/>
    <w:rsid w:val="2C9850A2"/>
    <w:rsid w:val="3339511F"/>
    <w:rsid w:val="339064C8"/>
    <w:rsid w:val="34433534"/>
    <w:rsid w:val="392E5B95"/>
    <w:rsid w:val="393D67A4"/>
    <w:rsid w:val="3CE36BE8"/>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C3667F0"/>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5326</Words>
  <Characters>5438</Characters>
  <Lines>51</Lines>
  <Paragraphs>14</Paragraphs>
  <TotalTime>0</TotalTime>
  <ScaleCrop>false</ScaleCrop>
  <LinksUpToDate>false</LinksUpToDate>
  <CharactersWithSpaces>6010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2024-07-21T11:37:04Z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