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pPr>
        <w:adjustRightInd w:val="0"/>
        <w:snapToGrid w:val="0"/>
        <w:spacing w:line="360" w:lineRule="auto"/>
        <w:jc w:val="center"/>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eastAsia="zh-CN"/>
        </w:rPr>
        <w:t>2024重点城市第二批次交通类广告投放项目</w:t>
      </w:r>
      <w:r>
        <w:rPr>
          <w:rFonts w:hint="eastAsia" w:ascii="仿宋" w:hAnsi="仿宋" w:eastAsia="仿宋"/>
          <w:bCs/>
          <w:sz w:val="28"/>
          <w:szCs w:val="28"/>
          <w:highlight w:val="none"/>
          <w:lang w:val="en-US" w:eastAsia="zh-CN"/>
        </w:rPr>
        <w:t>招标公告</w:t>
      </w:r>
    </w:p>
    <w:p>
      <w:pPr>
        <w:adjustRightInd w:val="0"/>
        <w:snapToGrid w:val="0"/>
        <w:spacing w:line="360" w:lineRule="auto"/>
        <w:jc w:val="cente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舍司招(2024)-ZC3-39</w:t>
      </w:r>
    </w:p>
    <w:p>
      <w:pPr>
        <w:spacing w:line="360" w:lineRule="auto"/>
        <w:rPr>
          <w:rFonts w:ascii="仿宋" w:hAnsi="仿宋" w:eastAsia="仿宋"/>
          <w:b/>
          <w:bCs/>
          <w:sz w:val="28"/>
          <w:szCs w:val="28"/>
        </w:rPr>
      </w:pPr>
      <w:r>
        <w:rPr>
          <w:rFonts w:hint="eastAsia" w:ascii="仿宋" w:hAnsi="仿宋" w:eastAsia="仿宋"/>
          <w:b/>
          <w:bCs/>
          <w:sz w:val="28"/>
          <w:szCs w:val="28"/>
        </w:rPr>
        <w:t>致各潜在投标人：</w:t>
      </w:r>
    </w:p>
    <w:p>
      <w:pPr>
        <w:widowControl/>
        <w:spacing w:after="156" w:afterLines="50" w:line="360" w:lineRule="auto"/>
        <w:ind w:firstLine="560" w:firstLineChars="200"/>
        <w:jc w:val="left"/>
        <w:rPr>
          <w:rFonts w:ascii="仿宋" w:hAnsi="仿宋" w:eastAsia="仿宋"/>
          <w:sz w:val="28"/>
          <w:szCs w:val="28"/>
        </w:rPr>
      </w:pPr>
      <w:r>
        <w:rPr>
          <w:rFonts w:hint="eastAsia" w:ascii="仿宋" w:hAnsi="仿宋" w:eastAsia="仿宋"/>
          <w:sz w:val="28"/>
          <w:szCs w:val="28"/>
        </w:rPr>
        <w:t>为配合舍得酒业业务的需要，本公司需对</w:t>
      </w:r>
      <w:r>
        <w:rPr>
          <w:rFonts w:hint="eastAsia" w:ascii="仿宋" w:hAnsi="仿宋" w:eastAsia="仿宋"/>
          <w:b/>
          <w:bCs/>
          <w:sz w:val="28"/>
          <w:szCs w:val="28"/>
          <w:u w:val="single"/>
          <w:lang w:eastAsia="zh-CN"/>
        </w:rPr>
        <w:t>2024重点城市第二批次交通类广告投放项目</w:t>
      </w:r>
      <w:r>
        <w:rPr>
          <w:rFonts w:hint="eastAsia" w:ascii="仿宋" w:hAnsi="仿宋" w:eastAsia="仿宋"/>
          <w:sz w:val="28"/>
          <w:szCs w:val="28"/>
        </w:rPr>
        <w:t>进行公开招标。</w:t>
      </w:r>
    </w:p>
    <w:p>
      <w:pPr>
        <w:adjustRightInd w:val="0"/>
        <w:snapToGrid w:val="0"/>
        <w:spacing w:line="360" w:lineRule="auto"/>
        <w:rPr>
          <w:rFonts w:ascii="仿宋" w:hAnsi="仿宋" w:eastAsia="仿宋"/>
          <w:b/>
          <w:sz w:val="28"/>
          <w:szCs w:val="28"/>
          <w:highlight w:val="none"/>
        </w:rPr>
      </w:pPr>
      <w:bookmarkStart w:id="0" w:name="_Hlk155268792"/>
      <w:r>
        <w:rPr>
          <w:rFonts w:hint="eastAsia" w:ascii="仿宋" w:hAnsi="仿宋" w:eastAsia="仿宋"/>
          <w:b/>
          <w:sz w:val="28"/>
          <w:szCs w:val="28"/>
          <w:highlight w:val="none"/>
        </w:rPr>
        <w:t>一、项目概况</w:t>
      </w:r>
    </w:p>
    <w:p>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2024重点城市第二批次交通类广告投放项目</w:t>
      </w:r>
    </w:p>
    <w:p>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1.2需求覆盖地区：四川、陕西、新疆、天津、河南、山东、浙江</w:t>
      </w:r>
    </w:p>
    <w:p>
      <w:pPr>
        <w:spacing w:line="360" w:lineRule="auto"/>
        <w:rPr>
          <w:rFonts w:hint="default" w:ascii="仿宋" w:hAnsi="仿宋" w:eastAsia="仿宋"/>
          <w:sz w:val="28"/>
          <w:szCs w:val="28"/>
          <w:highlight w:val="none"/>
          <w:lang w:val="en-US" w:eastAsia="zh-CN"/>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3需求资源类型</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电台（仅浙江）、公交车身、公交站台。</w:t>
      </w:r>
    </w:p>
    <w:p>
      <w:pPr>
        <w:spacing w:line="360" w:lineRule="auto"/>
        <w:ind w:left="210" w:leftChars="100"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本项目为指定点位资源招标，</w:t>
      </w:r>
      <w:r>
        <w:rPr>
          <w:rFonts w:hint="eastAsia" w:ascii="仿宋" w:hAnsi="仿宋" w:eastAsia="仿宋"/>
          <w:sz w:val="28"/>
          <w:szCs w:val="28"/>
          <w:highlight w:val="none"/>
        </w:rPr>
        <w:t>无需投标人</w:t>
      </w:r>
      <w:r>
        <w:rPr>
          <w:rFonts w:hint="eastAsia" w:ascii="仿宋" w:hAnsi="仿宋" w:eastAsia="仿宋"/>
          <w:sz w:val="28"/>
          <w:szCs w:val="28"/>
          <w:highlight w:val="none"/>
          <w:lang w:val="en-US" w:eastAsia="zh-CN"/>
        </w:rPr>
        <w:t>推荐点位</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具体点位将在</w:t>
      </w:r>
      <w:r>
        <w:rPr>
          <w:rFonts w:hint="eastAsia" w:ascii="仿宋" w:hAnsi="仿宋" w:eastAsia="仿宋"/>
          <w:sz w:val="28"/>
          <w:szCs w:val="28"/>
          <w:highlight w:val="none"/>
        </w:rPr>
        <w:t>投标人</w:t>
      </w:r>
      <w:r>
        <w:rPr>
          <w:rFonts w:hint="eastAsia" w:ascii="仿宋" w:hAnsi="仿宋" w:eastAsia="仿宋"/>
          <w:sz w:val="28"/>
          <w:szCs w:val="28"/>
          <w:highlight w:val="none"/>
          <w:lang w:val="en-US" w:eastAsia="zh-CN"/>
        </w:rPr>
        <w:t>报名预审</w:t>
      </w:r>
      <w:r>
        <w:rPr>
          <w:rFonts w:hint="eastAsia" w:ascii="仿宋" w:hAnsi="仿宋" w:eastAsia="仿宋"/>
          <w:sz w:val="28"/>
          <w:szCs w:val="28"/>
          <w:highlight w:val="none"/>
        </w:rPr>
        <w:t>通过后</w:t>
      </w:r>
      <w:r>
        <w:rPr>
          <w:rFonts w:hint="eastAsia" w:ascii="仿宋" w:hAnsi="仿宋" w:eastAsia="仿宋"/>
          <w:sz w:val="28"/>
          <w:szCs w:val="28"/>
          <w:highlight w:val="none"/>
          <w:lang w:val="en-US" w:eastAsia="zh-CN"/>
        </w:rPr>
        <w:t>以招标文件形式发放</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投标人可选择一个或多个点位进行投标。</w:t>
      </w:r>
    </w:p>
    <w:p>
      <w:pPr>
        <w:spacing w:line="360" w:lineRule="auto"/>
        <w:ind w:left="210" w:leftChars="100" w:firstLine="560" w:firstLineChars="200"/>
        <w:rPr>
          <w:rFonts w:hint="eastAsia" w:ascii="仿宋" w:hAnsi="仿宋" w:eastAsia="仿宋"/>
          <w:sz w:val="28"/>
          <w:szCs w:val="28"/>
          <w:highlight w:val="none"/>
        </w:rPr>
      </w:pPr>
      <w:bookmarkStart w:id="1" w:name="OLE_LINK1"/>
      <w:bookmarkStart w:id="2" w:name="OLE_LINK2"/>
      <w:r>
        <w:rPr>
          <w:rFonts w:hint="eastAsia" w:ascii="仿宋" w:hAnsi="仿宋" w:eastAsia="仿宋"/>
          <w:sz w:val="28"/>
          <w:szCs w:val="28"/>
          <w:highlight w:val="none"/>
          <w:lang w:val="en-US" w:eastAsia="zh-CN"/>
        </w:rPr>
        <w:t>预审通过后，在</w:t>
      </w:r>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报价，招标人有权</w:t>
      </w:r>
      <w:r>
        <w:rPr>
          <w:rFonts w:hint="eastAsia" w:ascii="仿宋" w:hAnsi="仿宋" w:eastAsia="仿宋"/>
          <w:sz w:val="28"/>
          <w:szCs w:val="28"/>
          <w:highlight w:val="none"/>
        </w:rPr>
        <w:t>视为无效价格不予接受。</w:t>
      </w:r>
      <w:bookmarkEnd w:id="1"/>
      <w:bookmarkEnd w:id="2"/>
    </w:p>
    <w:p>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2024</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9月起（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验收方式：提供结案报告书面验收。</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二、投标人的资格要求及审查方式</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pPr>
        <w:tabs>
          <w:tab w:val="left" w:pos="426"/>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w:t>
      </w:r>
      <w:r>
        <w:rPr>
          <w:rFonts w:hint="eastAsia" w:ascii="仿宋" w:hAnsi="仿宋" w:eastAsia="仿宋"/>
          <w:i w:val="0"/>
          <w:iCs w:val="0"/>
          <w:sz w:val="28"/>
          <w:szCs w:val="28"/>
          <w:highlight w:val="none"/>
        </w:rPr>
        <w:t>接受挂靠、分包、转包、联合体单位</w:t>
      </w:r>
      <w:r>
        <w:rPr>
          <w:rFonts w:hint="eastAsia" w:ascii="仿宋" w:hAnsi="仿宋" w:eastAsia="仿宋"/>
          <w:sz w:val="28"/>
          <w:szCs w:val="28"/>
          <w:highlight w:val="none"/>
        </w:rPr>
        <w:t>参与投标；单位负责人为同一人或者存在控股、管理关系的不同单位，不得参加同一标段投标或者未划分标段的同一招标项目投标；</w:t>
      </w:r>
    </w:p>
    <w:p>
      <w:pPr>
        <w:tabs>
          <w:tab w:val="left" w:pos="426"/>
        </w:tabs>
        <w:spacing w:line="360" w:lineRule="auto"/>
        <w:rPr>
          <w:rFonts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pPr>
        <w:pStyle w:val="8"/>
        <w:shd w:val="clear" w:color="auto" w:fill="FFFFFF"/>
        <w:spacing w:before="0" w:beforeAutospacing="0" w:after="0" w:afterAutospacing="0" w:line="480" w:lineRule="atLeast"/>
        <w:rPr>
          <w:rFonts w:hint="eastAsia" w:ascii="仿宋" w:hAnsi="仿宋" w:eastAsia="仿宋" w:cs="仿宋"/>
          <w:sz w:val="28"/>
          <w:szCs w:val="28"/>
          <w:highlight w:val="none"/>
        </w:rPr>
      </w:pPr>
      <w:bookmarkStart w:id="3" w:name="_Hlk114040189"/>
      <w:r>
        <w:rPr>
          <w:rFonts w:hint="eastAsia" w:ascii="仿宋" w:hAnsi="仿宋" w:eastAsia="仿宋" w:cs="仿宋"/>
          <w:b/>
          <w:bCs/>
          <w:sz w:val="28"/>
          <w:szCs w:val="28"/>
          <w:highlight w:val="none"/>
        </w:rPr>
        <w:t>三、投标保证金</w:t>
      </w:r>
    </w:p>
    <w:p>
      <w:pPr>
        <w:numPr>
          <w:ilvl w:val="255"/>
          <w:numId w:val="0"/>
        </w:numPr>
        <w:spacing w:line="360" w:lineRule="auto"/>
        <w:ind w:right="-197" w:rightChars="-94"/>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3.1 投标保证金：</w:t>
      </w:r>
      <w:r>
        <w:rPr>
          <w:rFonts w:hint="eastAsia" w:ascii="仿宋" w:hAnsi="仿宋" w:eastAsia="仿宋" w:cs="仿宋"/>
          <w:sz w:val="28"/>
          <w:szCs w:val="28"/>
          <w:highlight w:val="none"/>
          <w:lang w:val="en-US" w:eastAsia="zh-CN"/>
        </w:rPr>
        <w:t>100,000元</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人民币拾万</w:t>
      </w:r>
      <w:r>
        <w:rPr>
          <w:rFonts w:hint="eastAsia" w:ascii="仿宋" w:hAnsi="仿宋" w:eastAsia="仿宋" w:cs="仿宋"/>
          <w:sz w:val="28"/>
          <w:szCs w:val="28"/>
          <w:highlight w:val="none"/>
        </w:rPr>
        <w:t>元整</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投标人可在收到招标文件且确认参标后，</w:t>
      </w:r>
      <w:r>
        <w:rPr>
          <w:rFonts w:hint="eastAsia" w:ascii="仿宋" w:hAnsi="仿宋" w:eastAsia="仿宋" w:cs="仿宋"/>
          <w:sz w:val="28"/>
          <w:szCs w:val="28"/>
          <w:highlight w:val="none"/>
          <w:lang w:val="en-US" w:eastAsia="zh-CN"/>
        </w:rPr>
        <w:t>在规定时间内上传保证金缴纳凭证</w:t>
      </w:r>
      <w:r>
        <w:rPr>
          <w:rFonts w:hint="eastAsia" w:ascii="仿宋" w:hAnsi="仿宋" w:eastAsia="仿宋" w:cs="仿宋"/>
          <w:sz w:val="28"/>
          <w:szCs w:val="28"/>
          <w:highlight w:val="none"/>
        </w:rPr>
        <w:t>。投标人以网银转账或电汇方式缴纳至招标人指定账户，转账需备注“</w:t>
      </w:r>
      <w:r>
        <w:rPr>
          <w:rFonts w:hint="eastAsia" w:ascii="仿宋" w:hAnsi="仿宋" w:eastAsia="仿宋" w:cs="仿宋"/>
          <w:bCs/>
          <w:sz w:val="28"/>
          <w:szCs w:val="28"/>
          <w:highlight w:val="none"/>
          <w:lang w:eastAsia="zh-CN"/>
        </w:rPr>
        <w:t>2024第二批</w:t>
      </w:r>
      <w:r>
        <w:rPr>
          <w:rFonts w:hint="eastAsia" w:ascii="仿宋" w:hAnsi="仿宋" w:eastAsia="仿宋" w:cs="仿宋"/>
          <w:bCs/>
          <w:sz w:val="28"/>
          <w:szCs w:val="28"/>
          <w:highlight w:val="none"/>
          <w:lang w:val="en-US" w:eastAsia="zh-CN"/>
        </w:rPr>
        <w:t>交通类</w:t>
      </w:r>
      <w:bookmarkStart w:id="5" w:name="_GoBack"/>
      <w:bookmarkEnd w:id="5"/>
      <w:r>
        <w:rPr>
          <w:rFonts w:hint="eastAsia" w:ascii="仿宋" w:hAnsi="仿宋" w:eastAsia="仿宋" w:cs="仿宋"/>
          <w:bCs/>
          <w:sz w:val="28"/>
          <w:szCs w:val="28"/>
          <w:highlight w:val="none"/>
          <w:lang w:eastAsia="zh-CN"/>
        </w:rPr>
        <w:t>-投标保证金</w:t>
      </w:r>
      <w:r>
        <w:rPr>
          <w:rFonts w:hint="eastAsia" w:ascii="仿宋" w:hAnsi="仿宋" w:eastAsia="仿宋" w:cs="仿宋"/>
          <w:sz w:val="28"/>
          <w:szCs w:val="28"/>
          <w:highlight w:val="none"/>
        </w:rPr>
        <w:t>”，投标保证金缴纳后登陆舍得酒业招采数字化平台（网址：https://ssrm.shede.com.cn）点击页面顶部“一链网”，在</w:t>
      </w:r>
      <w:r>
        <w:rPr>
          <w:rFonts w:hint="eastAsia" w:ascii="仿宋" w:hAnsi="仿宋" w:eastAsia="仿宋" w:cs="仿宋"/>
          <w:sz w:val="28"/>
          <w:szCs w:val="28"/>
          <w:highlight w:val="none"/>
          <w:lang w:val="en-US" w:eastAsia="zh-CN"/>
        </w:rPr>
        <w:t>截止</w:t>
      </w:r>
      <w:r>
        <w:rPr>
          <w:rFonts w:hint="eastAsia" w:ascii="仿宋" w:hAnsi="仿宋" w:eastAsia="仿宋" w:cs="仿宋"/>
          <w:sz w:val="28"/>
          <w:szCs w:val="28"/>
          <w:highlight w:val="none"/>
        </w:rPr>
        <w:t xml:space="preserve">时间前上传转账凭证。 </w:t>
      </w:r>
    </w:p>
    <w:p>
      <w:pPr>
        <w:numPr>
          <w:ilvl w:val="255"/>
          <w:numId w:val="0"/>
        </w:numPr>
        <w:spacing w:line="360" w:lineRule="auto"/>
        <w:ind w:right="-197" w:rightChars="-94"/>
        <w:jc w:val="lef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保证金缴纳凭证上传截止时间： 2024年8月28日下午16:00前</w:t>
      </w:r>
    </w:p>
    <w:p>
      <w:pPr>
        <w:spacing w:line="360" w:lineRule="auto"/>
        <w:rPr>
          <w:rFonts w:hint="eastAsia" w:ascii="仿宋" w:hAnsi="仿宋" w:eastAsia="仿宋" w:cs="仿宋"/>
          <w:b w:val="0"/>
          <w:bCs w:val="0"/>
          <w:color w:val="FF0000"/>
          <w:sz w:val="28"/>
          <w:szCs w:val="28"/>
          <w:highlight w:val="none"/>
          <w:lang w:val="en-US" w:eastAsia="zh-CN"/>
        </w:rPr>
      </w:pPr>
      <w:r>
        <w:rPr>
          <w:rFonts w:hint="eastAsia" w:ascii="仿宋" w:hAnsi="仿宋" w:eastAsia="仿宋" w:cs="仿宋"/>
          <w:b w:val="0"/>
          <w:bCs w:val="0"/>
          <w:color w:val="FF0000"/>
          <w:sz w:val="28"/>
          <w:szCs w:val="28"/>
          <w:highlight w:val="none"/>
          <w:lang w:val="en-US" w:eastAsia="zh-CN"/>
        </w:rPr>
        <w:t>投标保证金</w:t>
      </w:r>
      <w:r>
        <w:rPr>
          <w:rFonts w:hint="eastAsia" w:ascii="仿宋" w:hAnsi="仿宋" w:eastAsia="仿宋" w:cs="仿宋"/>
          <w:b w:val="0"/>
          <w:bCs w:val="0"/>
          <w:color w:val="FF0000"/>
          <w:sz w:val="28"/>
          <w:szCs w:val="28"/>
          <w:highlight w:val="none"/>
        </w:rPr>
        <w:t>凭证上传时间</w:t>
      </w:r>
      <w:r>
        <w:rPr>
          <w:rFonts w:hint="eastAsia" w:ascii="仿宋" w:hAnsi="仿宋" w:eastAsia="仿宋" w:cs="仿宋"/>
          <w:b w:val="0"/>
          <w:bCs w:val="0"/>
          <w:color w:val="FF0000"/>
          <w:sz w:val="28"/>
          <w:szCs w:val="28"/>
          <w:highlight w:val="none"/>
          <w:lang w:val="en-US" w:eastAsia="zh-CN"/>
        </w:rPr>
        <w:t>截止且经系统确认后，投标人方可递交投标文件。投标人可选择一个或多个点位进行投标。</w:t>
      </w: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收款信息：</w:t>
      </w: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开户名称：四川沱牌舍得营销有限公司</w:t>
      </w: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开户银行：中国建设银行射洪支行</w:t>
      </w:r>
    </w:p>
    <w:p>
      <w:pPr>
        <w:numPr>
          <w:ilvl w:val="255"/>
          <w:numId w:val="0"/>
        </w:numPr>
        <w:spacing w:line="360" w:lineRule="auto"/>
        <w:rPr>
          <w:rFonts w:hint="eastAsia" w:ascii="仿宋" w:hAnsi="仿宋" w:eastAsia="仿宋" w:cs="仿宋"/>
          <w:i/>
          <w:iCs/>
          <w:sz w:val="28"/>
          <w:szCs w:val="28"/>
          <w:highlight w:val="none"/>
        </w:rPr>
      </w:pPr>
      <w:r>
        <w:rPr>
          <w:rFonts w:hint="eastAsia" w:ascii="仿宋" w:hAnsi="仿宋" w:eastAsia="仿宋" w:cs="仿宋"/>
          <w:sz w:val="28"/>
          <w:szCs w:val="28"/>
          <w:highlight w:val="none"/>
          <w:lang w:eastAsia="zh-CN"/>
        </w:rPr>
        <w:t>银行账号</w:t>
      </w:r>
      <w:r>
        <w:rPr>
          <w:rFonts w:hint="eastAsia" w:ascii="仿宋" w:hAnsi="仿宋" w:eastAsia="仿宋" w:cs="仿宋"/>
          <w:sz w:val="28"/>
          <w:szCs w:val="28"/>
          <w:highlight w:val="none"/>
        </w:rPr>
        <w:t>：5105 0167 7108 0000 0087</w:t>
      </w:r>
    </w:p>
    <w:p>
      <w:pPr>
        <w:numPr>
          <w:ilvl w:val="255"/>
          <w:numId w:val="0"/>
        </w:numPr>
        <w:spacing w:line="360" w:lineRule="auto"/>
        <w:rPr>
          <w:rFonts w:hint="eastAsia" w:ascii="仿宋" w:hAnsi="仿宋" w:eastAsia="仿宋" w:cs="仿宋"/>
          <w:sz w:val="28"/>
          <w:szCs w:val="28"/>
          <w:highlight w:val="none"/>
        </w:rPr>
      </w:pP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 保证金退还：</w:t>
      </w:r>
    </w:p>
    <w:p>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未中标方在我司公示</w:t>
      </w:r>
      <w:r>
        <w:rPr>
          <w:rFonts w:hint="eastAsia" w:ascii="仿宋" w:hAnsi="仿宋" w:eastAsia="仿宋" w:cs="仿宋"/>
          <w:sz w:val="28"/>
          <w:szCs w:val="28"/>
          <w:highlight w:val="none"/>
          <w:lang w:val="en-US" w:eastAsia="zh-CN"/>
        </w:rPr>
        <w:t>中选</w:t>
      </w:r>
      <w:r>
        <w:rPr>
          <w:rFonts w:hint="eastAsia" w:ascii="仿宋" w:hAnsi="仿宋" w:eastAsia="仿宋" w:cs="仿宋"/>
          <w:sz w:val="28"/>
          <w:szCs w:val="28"/>
          <w:highlight w:val="none"/>
        </w:rPr>
        <w:t>人后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日内一次性不计利息按原汇款路径退还投标保证金；</w:t>
      </w:r>
    </w:p>
    <w:p>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中标方投标保证金在对应中标合同双方签订后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日内全额退还。</w:t>
      </w:r>
    </w:p>
    <w:p>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若投标人有串标、围标、提供虚假证明材料、中标入围后因投标人原因无法签订合同等违规行为，投标保证金根据本次招标的相关规定不予退还且不开具任何票据。</w:t>
      </w:r>
    </w:p>
    <w:p>
      <w:pPr>
        <w:numPr>
          <w:ilvl w:val="255"/>
          <w:numId w:val="0"/>
        </w:numPr>
        <w:spacing w:line="360" w:lineRule="auto"/>
        <w:ind w:firstLine="402" w:firstLineChars="200"/>
        <w:rPr>
          <w:rFonts w:ascii="仿宋" w:hAnsi="仿宋" w:eastAsia="仿宋"/>
          <w:b/>
          <w:bCs/>
          <w:sz w:val="20"/>
          <w:szCs w:val="21"/>
          <w:highlight w:val="none"/>
        </w:rPr>
      </w:pPr>
    </w:p>
    <w:bookmarkEnd w:id="0"/>
    <w:bookmarkEnd w:id="3"/>
    <w:p>
      <w:pPr>
        <w:adjustRightInd w:val="0"/>
        <w:snapToGrid w:val="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四、投标报名联系人及时间安排： </w:t>
      </w:r>
    </w:p>
    <w:p>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2024年8月19日上午12:00前</w:t>
      </w:r>
    </w:p>
    <w:p>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登陆舍得酒业招采数字化平台（网址： https://ssrm.shede.com.cn），点击页面顶部的“一链网”获取招标文件。</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本项目预计发标时间：</w:t>
      </w:r>
      <w:r>
        <w:rPr>
          <w:rFonts w:hint="eastAsia" w:ascii="仿宋" w:hAnsi="仿宋" w:eastAsia="仿宋" w:cs="仿宋"/>
          <w:sz w:val="28"/>
          <w:szCs w:val="28"/>
          <w:highlight w:val="none"/>
          <w:lang w:val="en-US" w:eastAsia="zh-CN"/>
        </w:rPr>
        <w:t>2024年8月21日</w:t>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保证金凭证上传时间：2024年8月28日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本项目预计回标时间：</w:t>
      </w:r>
      <w:r>
        <w:rPr>
          <w:rFonts w:hint="eastAsia" w:ascii="仿宋" w:hAnsi="仿宋" w:eastAsia="仿宋" w:cs="仿宋"/>
          <w:sz w:val="28"/>
          <w:szCs w:val="28"/>
          <w:highlight w:val="none"/>
          <w:lang w:val="en-US" w:eastAsia="zh-CN"/>
        </w:rPr>
        <w:t>2024年8月31日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本项目预计开标时间：</w:t>
      </w:r>
      <w:r>
        <w:rPr>
          <w:rFonts w:hint="eastAsia" w:ascii="仿宋" w:hAnsi="仿宋" w:eastAsia="仿宋" w:cs="仿宋"/>
          <w:sz w:val="28"/>
          <w:szCs w:val="28"/>
          <w:highlight w:val="none"/>
          <w:lang w:val="en-US" w:eastAsia="zh-CN"/>
        </w:rPr>
        <w:t>2024年8月31日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pPr>
        <w:spacing w:line="360" w:lineRule="auto"/>
        <w:rPr>
          <w:rFonts w:hint="eastAsia" w:ascii="仿宋" w:hAnsi="仿宋" w:eastAsia="仿宋"/>
          <w:b/>
          <w:bCs/>
          <w:sz w:val="32"/>
          <w:szCs w:val="32"/>
        </w:rPr>
      </w:pPr>
    </w:p>
    <w:p>
      <w:pPr>
        <w:spacing w:line="360" w:lineRule="auto"/>
        <w:rPr>
          <w:rFonts w:ascii="仿宋" w:hAnsi="仿宋" w:eastAsia="仿宋"/>
          <w:b/>
          <w:bCs/>
          <w:sz w:val="32"/>
          <w:szCs w:val="32"/>
        </w:rPr>
      </w:pPr>
      <w:r>
        <w:rPr>
          <w:rFonts w:hint="eastAsia" w:ascii="仿宋" w:hAnsi="仿宋" w:eastAsia="仿宋"/>
          <w:b/>
          <w:bCs/>
          <w:sz w:val="32"/>
          <w:szCs w:val="32"/>
        </w:rPr>
        <w:t>五、附件</w:t>
      </w:r>
    </w:p>
    <w:p>
      <w:pPr>
        <w:spacing w:line="360" w:lineRule="auto"/>
        <w:rPr>
          <w:rFonts w:ascii="仿宋" w:hAnsi="仿宋" w:eastAsia="仿宋"/>
          <w:sz w:val="32"/>
          <w:szCs w:val="32"/>
        </w:rPr>
      </w:pPr>
      <w:r>
        <w:rPr>
          <w:rFonts w:hint="eastAsia" w:ascii="仿宋" w:hAnsi="仿宋" w:eastAsia="仿宋"/>
          <w:sz w:val="32"/>
          <w:szCs w:val="32"/>
        </w:rPr>
        <w:t>附件一：</w:t>
      </w:r>
      <w:r>
        <w:rPr>
          <w:rFonts w:ascii="仿宋" w:hAnsi="仿宋" w:eastAsia="仿宋"/>
          <w:sz w:val="32"/>
          <w:szCs w:val="32"/>
        </w:rPr>
        <w:t>资格预审必要合格条件标准</w:t>
      </w:r>
    </w:p>
    <w:p>
      <w:pPr>
        <w:spacing w:line="360" w:lineRule="auto"/>
        <w:rPr>
          <w:rFonts w:ascii="仿宋" w:hAnsi="仿宋" w:eastAsia="仿宋"/>
          <w:sz w:val="32"/>
          <w:szCs w:val="32"/>
        </w:rPr>
      </w:pPr>
      <w:r>
        <w:rPr>
          <w:rFonts w:hint="eastAsia" w:ascii="仿宋" w:hAnsi="仿宋" w:eastAsia="仿宋"/>
          <w:sz w:val="32"/>
          <w:szCs w:val="32"/>
        </w:rPr>
        <w:t>附件二：投标预审资料提交模板（点击文章末尾下载）</w:t>
      </w:r>
    </w:p>
    <w:p>
      <w:pPr>
        <w:spacing w:line="360" w:lineRule="auto"/>
        <w:jc w:val="right"/>
        <w:rPr>
          <w:rFonts w:ascii="仿宋" w:hAnsi="仿宋" w:eastAsia="仿宋"/>
          <w:sz w:val="32"/>
          <w:szCs w:val="32"/>
        </w:rPr>
      </w:pPr>
      <w:r>
        <w:rPr>
          <w:rFonts w:hint="eastAsia" w:ascii="仿宋" w:hAnsi="仿宋" w:eastAsia="仿宋"/>
          <w:sz w:val="32"/>
          <w:szCs w:val="32"/>
        </w:rPr>
        <w:t>四川沱牌舍得营销有限公司</w:t>
      </w:r>
    </w:p>
    <w:p>
      <w:pPr>
        <w:spacing w:line="360" w:lineRule="auto"/>
        <w:ind w:right="640"/>
        <w:jc w:val="right"/>
        <w:rPr>
          <w:rFonts w:ascii="仿宋" w:hAnsi="仿宋" w:eastAsia="仿宋"/>
          <w:sz w:val="32"/>
          <w:szCs w:val="32"/>
        </w:rPr>
      </w:pPr>
      <w:r>
        <w:rPr>
          <w:rFonts w:hint="eastAsia" w:ascii="仿宋" w:hAnsi="仿宋" w:eastAsia="仿宋"/>
          <w:sz w:val="32"/>
          <w:szCs w:val="32"/>
          <w:lang w:val="en-US" w:eastAsia="zh-CN"/>
        </w:rPr>
        <w:t>2024</w:t>
      </w:r>
      <w:r>
        <w:rPr>
          <w:rFonts w:hint="eastAsia" w:ascii="仿宋" w:hAnsi="仿宋" w:eastAsia="仿宋"/>
          <w:sz w:val="32"/>
          <w:szCs w:val="32"/>
        </w:rPr>
        <w:t>年</w:t>
      </w:r>
      <w:r>
        <w:rPr>
          <w:rFonts w:hint="eastAsia" w:ascii="仿宋" w:hAnsi="仿宋" w:eastAsia="仿宋"/>
          <w:sz w:val="32"/>
          <w:szCs w:val="32"/>
          <w:lang w:val="en-US" w:eastAsia="zh-CN"/>
        </w:rPr>
        <w:t>8</w:t>
      </w:r>
      <w:r>
        <w:rPr>
          <w:rFonts w:hint="eastAsia" w:ascii="仿宋" w:hAnsi="仿宋" w:eastAsia="仿宋"/>
          <w:sz w:val="32"/>
          <w:szCs w:val="32"/>
        </w:rPr>
        <w:t>月</w:t>
      </w:r>
      <w:r>
        <w:rPr>
          <w:rFonts w:hint="eastAsia" w:ascii="仿宋" w:hAnsi="仿宋" w:eastAsia="仿宋"/>
          <w:sz w:val="32"/>
          <w:szCs w:val="32"/>
          <w:lang w:val="en-US" w:eastAsia="zh-CN"/>
        </w:rPr>
        <w:t>13</w:t>
      </w:r>
      <w:r>
        <w:rPr>
          <w:rFonts w:hint="eastAsia" w:ascii="仿宋" w:hAnsi="仿宋" w:eastAsia="仿宋"/>
          <w:sz w:val="32"/>
          <w:szCs w:val="32"/>
        </w:rPr>
        <w:t>日</w:t>
      </w:r>
    </w:p>
    <w:p>
      <w:pPr>
        <w:pStyle w:val="2"/>
        <w:rPr>
          <w:rFonts w:hint="eastAsia" w:ascii="仿宋" w:hAnsi="仿宋" w:eastAsia="仿宋"/>
          <w:sz w:val="28"/>
          <w:szCs w:val="28"/>
          <w:highlight w:val="none"/>
        </w:rPr>
      </w:pPr>
    </w:p>
    <w:p>
      <w:pPr>
        <w:rPr>
          <w:rFonts w:hint="eastAsia" w:ascii="仿宋" w:hAnsi="仿宋" w:eastAsia="仿宋"/>
          <w:sz w:val="28"/>
          <w:szCs w:val="28"/>
          <w:highlight w:val="none"/>
        </w:rPr>
      </w:pPr>
    </w:p>
    <w:p>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584"/>
        <w:gridCol w:w="6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1</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pPr>
              <w:spacing w:line="360" w:lineRule="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2</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pPr>
              <w:pStyle w:val="2"/>
              <w:spacing w:line="360" w:lineRule="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5</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ascii="仿宋" w:hAnsi="仿宋" w:eastAsia="仿宋"/>
                <w:sz w:val="22"/>
                <w:szCs w:val="22"/>
                <w:highlight w:val="none"/>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3</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pPr>
              <w:spacing w:line="360" w:lineRule="auto"/>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pPr>
              <w:widowControl/>
              <w:spacing w:line="360" w:lineRule="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w:t>
            </w:r>
            <w:r>
              <w:rPr>
                <w:rFonts w:hint="eastAsia" w:ascii="仿宋" w:hAnsi="仿宋" w:eastAsia="仿宋" w:cs="宋体"/>
                <w:kern w:val="0"/>
                <w:sz w:val="22"/>
                <w:szCs w:val="21"/>
                <w:highlight w:val="none"/>
                <w:lang w:val="en-US" w:eastAsia="zh-CN"/>
              </w:rPr>
              <w:t>交通类</w:t>
            </w:r>
            <w:r>
              <w:rPr>
                <w:rFonts w:hint="eastAsia" w:ascii="仿宋" w:hAnsi="仿宋" w:eastAsia="仿宋" w:cs="宋体"/>
                <w:kern w:val="0"/>
                <w:sz w:val="22"/>
                <w:szCs w:val="21"/>
                <w:highlight w:val="none"/>
              </w:rPr>
              <w:t>）</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经验，至少提供</w:t>
            </w:r>
            <w:r>
              <w:rPr>
                <w:rFonts w:hint="eastAsia" w:ascii="仿宋" w:hAnsi="仿宋" w:eastAsia="仿宋" w:cs="宋体"/>
                <w:kern w:val="0"/>
                <w:sz w:val="22"/>
                <w:szCs w:val="21"/>
                <w:highlight w:val="none"/>
                <w:lang w:val="en-US" w:eastAsia="zh-CN"/>
              </w:rPr>
              <w:t>2021</w:t>
            </w:r>
            <w:r>
              <w:rPr>
                <w:rFonts w:hint="eastAsia" w:ascii="仿宋" w:hAnsi="仿宋" w:eastAsia="仿宋" w:cs="宋体"/>
                <w:kern w:val="0"/>
                <w:sz w:val="22"/>
                <w:szCs w:val="21"/>
                <w:highlight w:val="none"/>
              </w:rPr>
              <w:t>年至今，3个（含）以上</w:t>
            </w:r>
            <w:r>
              <w:rPr>
                <w:rFonts w:hint="eastAsia" w:ascii="仿宋" w:hAnsi="仿宋" w:eastAsia="仿宋" w:cs="宋体"/>
                <w:kern w:val="0"/>
                <w:sz w:val="22"/>
                <w:szCs w:val="21"/>
                <w:highlight w:val="none"/>
                <w:lang w:val="en-US" w:eastAsia="zh-CN"/>
              </w:rPr>
              <w:t>与</w:t>
            </w:r>
            <w:r>
              <w:rPr>
                <w:rFonts w:hint="eastAsia" w:ascii="仿宋" w:hAnsi="仿宋" w:eastAsia="仿宋" w:cs="宋体"/>
                <w:kern w:val="0"/>
                <w:sz w:val="22"/>
                <w:szCs w:val="21"/>
                <w:highlight w:val="none"/>
              </w:rPr>
              <w:t>本项目</w:t>
            </w:r>
            <w:r>
              <w:rPr>
                <w:rFonts w:hint="eastAsia" w:ascii="仿宋" w:hAnsi="仿宋" w:eastAsia="仿宋" w:cs="宋体"/>
                <w:kern w:val="0"/>
                <w:sz w:val="22"/>
                <w:szCs w:val="21"/>
                <w:highlight w:val="none"/>
                <w:lang w:val="en-US" w:eastAsia="zh-CN"/>
              </w:rPr>
              <w:t>同类型资源投放的</w:t>
            </w:r>
            <w:r>
              <w:rPr>
                <w:rFonts w:hint="eastAsia" w:ascii="仿宋" w:hAnsi="仿宋" w:eastAsia="仿宋" w:cs="宋体"/>
                <w:kern w:val="0"/>
                <w:sz w:val="22"/>
                <w:szCs w:val="21"/>
                <w:highlight w:val="none"/>
              </w:rPr>
              <w:t>成功案例</w:t>
            </w:r>
            <w:r>
              <w:rPr>
                <w:rFonts w:hint="eastAsia" w:ascii="仿宋" w:hAnsi="仿宋" w:eastAsia="仿宋" w:cs="宋体"/>
                <w:kern w:val="0"/>
                <w:sz w:val="22"/>
                <w:szCs w:val="21"/>
                <w:highlight w:val="none"/>
                <w:lang w:val="en-US" w:eastAsia="zh-CN"/>
              </w:rPr>
              <w:t>合同</w:t>
            </w:r>
            <w:r>
              <w:rPr>
                <w:rFonts w:hint="eastAsia" w:ascii="仿宋" w:hAnsi="仿宋" w:eastAsia="仿宋" w:cs="宋体"/>
                <w:kern w:val="0"/>
                <w:sz w:val="22"/>
                <w:szCs w:val="21"/>
                <w:highlight w:val="none"/>
              </w:rPr>
              <w:t>，单个合同金额不低于20万</w:t>
            </w:r>
            <w:r>
              <w:rPr>
                <w:rFonts w:hint="eastAsia" w:ascii="仿宋" w:hAnsi="仿宋" w:eastAsia="仿宋" w:cs="宋体"/>
                <w:kern w:val="0"/>
                <w:sz w:val="22"/>
                <w:szCs w:val="21"/>
                <w:highlight w:val="none"/>
                <w:lang w:eastAsia="zh-CN"/>
              </w:rPr>
              <w:t>。</w:t>
            </w:r>
            <w:r>
              <w:rPr>
                <w:rFonts w:hint="eastAsia" w:ascii="仿宋" w:hAnsi="仿宋" w:eastAsia="仿宋" w:cs="宋体"/>
                <w:kern w:val="0"/>
                <w:sz w:val="22"/>
                <w:szCs w:val="21"/>
                <w:highlight w:val="none"/>
              </w:rPr>
              <w:t>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及发票</w:t>
            </w:r>
            <w:r>
              <w:rPr>
                <w:rFonts w:hint="eastAsia" w:ascii="仿宋" w:hAnsi="仿宋" w:eastAsia="仿宋" w:cs="宋体"/>
                <w:kern w:val="0"/>
                <w:sz w:val="22"/>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ascii="仿宋" w:hAnsi="仿宋" w:eastAsia="仿宋"/>
                <w:sz w:val="22"/>
                <w:szCs w:val="21"/>
                <w:highlight w:val="none"/>
              </w:rPr>
              <w:t>5</w:t>
            </w:r>
          </w:p>
        </w:tc>
        <w:tc>
          <w:tcPr>
            <w:tcW w:w="866" w:type="pct"/>
            <w:vAlign w:val="center"/>
          </w:tcPr>
          <w:p>
            <w:pPr>
              <w:spacing w:line="360" w:lineRule="auto"/>
              <w:jc w:val="center"/>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pPr>
              <w:spacing w:line="360" w:lineRule="auto"/>
              <w:jc w:val="both"/>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pPr>
        <w:rPr>
          <w:sz w:val="20"/>
          <w:szCs w:val="21"/>
          <w:highlight w:val="none"/>
        </w:rPr>
      </w:pPr>
    </w:p>
    <w:bookmarkEnd w:id="4"/>
    <w:p>
      <w:pPr>
        <w:spacing w:line="360" w:lineRule="auto"/>
        <w:ind w:left="440"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pPr>
        <w:spacing w:line="360" w:lineRule="auto"/>
        <w:ind w:left="424" w:leftChars="202"/>
        <w:jc w:val="left"/>
      </w:pPr>
      <w:r>
        <w:rPr>
          <w:rFonts w:hint="eastAsia" w:ascii="仿宋" w:hAnsi="仿宋" w:eastAsia="仿宋"/>
          <w:sz w:val="22"/>
          <w:szCs w:val="21"/>
          <w:highlight w:val="none"/>
        </w:rPr>
        <w:t>3、除《附件一》中要求提供的文件外，可以另外提供投标人认为有必要的其他资质文件。</w:t>
      </w:r>
    </w:p>
    <w:sectPr>
      <w:pgSz w:w="11906" w:h="16838"/>
      <w:pgMar w:top="1440" w:right="1274"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ZjI2NDAyZjEwMjQ2YTYwZjQxNzA1NWIyYzNlOTkifQ=="/>
  </w:docVars>
  <w:rsids>
    <w:rsidRoot w:val="00A10C5F"/>
    <w:rsid w:val="0003556D"/>
    <w:rsid w:val="00047349"/>
    <w:rsid w:val="00082DC9"/>
    <w:rsid w:val="000A06B1"/>
    <w:rsid w:val="000A1332"/>
    <w:rsid w:val="000C1ED5"/>
    <w:rsid w:val="000C5209"/>
    <w:rsid w:val="000D3E6D"/>
    <w:rsid w:val="0015468D"/>
    <w:rsid w:val="001710E7"/>
    <w:rsid w:val="001761E8"/>
    <w:rsid w:val="001B7BCE"/>
    <w:rsid w:val="001E0868"/>
    <w:rsid w:val="00223156"/>
    <w:rsid w:val="00246B39"/>
    <w:rsid w:val="002659CA"/>
    <w:rsid w:val="00273539"/>
    <w:rsid w:val="00274C5A"/>
    <w:rsid w:val="00280E8E"/>
    <w:rsid w:val="00283F4E"/>
    <w:rsid w:val="0028629E"/>
    <w:rsid w:val="002B0580"/>
    <w:rsid w:val="002E4BF4"/>
    <w:rsid w:val="002F0E5F"/>
    <w:rsid w:val="00353A04"/>
    <w:rsid w:val="00355CBA"/>
    <w:rsid w:val="003609B9"/>
    <w:rsid w:val="00390AAA"/>
    <w:rsid w:val="00394DC3"/>
    <w:rsid w:val="0039547B"/>
    <w:rsid w:val="003A72DE"/>
    <w:rsid w:val="003C562E"/>
    <w:rsid w:val="0049108B"/>
    <w:rsid w:val="004A7F6F"/>
    <w:rsid w:val="004C5D0C"/>
    <w:rsid w:val="004D14EE"/>
    <w:rsid w:val="004D6F3F"/>
    <w:rsid w:val="005038EA"/>
    <w:rsid w:val="00512840"/>
    <w:rsid w:val="005549ED"/>
    <w:rsid w:val="00555601"/>
    <w:rsid w:val="00591922"/>
    <w:rsid w:val="005E44B3"/>
    <w:rsid w:val="005F3188"/>
    <w:rsid w:val="0069353A"/>
    <w:rsid w:val="0069408F"/>
    <w:rsid w:val="006C63B4"/>
    <w:rsid w:val="006D2CA9"/>
    <w:rsid w:val="006E2CF4"/>
    <w:rsid w:val="006F3EE6"/>
    <w:rsid w:val="006F428E"/>
    <w:rsid w:val="00712C31"/>
    <w:rsid w:val="007504D8"/>
    <w:rsid w:val="00771B65"/>
    <w:rsid w:val="00791306"/>
    <w:rsid w:val="007E128D"/>
    <w:rsid w:val="007E3D20"/>
    <w:rsid w:val="007F4C2F"/>
    <w:rsid w:val="00873BE6"/>
    <w:rsid w:val="00880C5B"/>
    <w:rsid w:val="00880D2F"/>
    <w:rsid w:val="008D138C"/>
    <w:rsid w:val="0092408C"/>
    <w:rsid w:val="00943B3B"/>
    <w:rsid w:val="00972E81"/>
    <w:rsid w:val="009809F4"/>
    <w:rsid w:val="00A10C5F"/>
    <w:rsid w:val="00A16833"/>
    <w:rsid w:val="00A25011"/>
    <w:rsid w:val="00A34333"/>
    <w:rsid w:val="00A3731A"/>
    <w:rsid w:val="00A860CE"/>
    <w:rsid w:val="00AA13D2"/>
    <w:rsid w:val="00AA3E31"/>
    <w:rsid w:val="00AD400C"/>
    <w:rsid w:val="00B12121"/>
    <w:rsid w:val="00B328D4"/>
    <w:rsid w:val="00B37CCE"/>
    <w:rsid w:val="00B55C8D"/>
    <w:rsid w:val="00B736ED"/>
    <w:rsid w:val="00B7661A"/>
    <w:rsid w:val="00BC05AF"/>
    <w:rsid w:val="00BE3D32"/>
    <w:rsid w:val="00C14DDD"/>
    <w:rsid w:val="00C24F0F"/>
    <w:rsid w:val="00C4582D"/>
    <w:rsid w:val="00C92243"/>
    <w:rsid w:val="00CF3712"/>
    <w:rsid w:val="00D03026"/>
    <w:rsid w:val="00D4686F"/>
    <w:rsid w:val="00D67B54"/>
    <w:rsid w:val="00DD72B7"/>
    <w:rsid w:val="00E21C27"/>
    <w:rsid w:val="00E332A4"/>
    <w:rsid w:val="00E55AA6"/>
    <w:rsid w:val="00EA0466"/>
    <w:rsid w:val="00EA1A6C"/>
    <w:rsid w:val="00EB5A84"/>
    <w:rsid w:val="00EC5656"/>
    <w:rsid w:val="00ED1A5C"/>
    <w:rsid w:val="00ED6443"/>
    <w:rsid w:val="00EE2236"/>
    <w:rsid w:val="00EE2DAF"/>
    <w:rsid w:val="00EF54EC"/>
    <w:rsid w:val="00F07A7F"/>
    <w:rsid w:val="00F4077F"/>
    <w:rsid w:val="00F47B6D"/>
    <w:rsid w:val="00F5182B"/>
    <w:rsid w:val="00F51CF6"/>
    <w:rsid w:val="00F53FE2"/>
    <w:rsid w:val="00F60B0E"/>
    <w:rsid w:val="00F63948"/>
    <w:rsid w:val="00F67A15"/>
    <w:rsid w:val="00F86D33"/>
    <w:rsid w:val="00FC142B"/>
    <w:rsid w:val="00FD3EEE"/>
    <w:rsid w:val="01B172D7"/>
    <w:rsid w:val="01CA1A79"/>
    <w:rsid w:val="01F96F34"/>
    <w:rsid w:val="024E74F6"/>
    <w:rsid w:val="02566493"/>
    <w:rsid w:val="026D5C3B"/>
    <w:rsid w:val="02A57365"/>
    <w:rsid w:val="03CD7EF4"/>
    <w:rsid w:val="03E27800"/>
    <w:rsid w:val="043B3ED9"/>
    <w:rsid w:val="04B96861"/>
    <w:rsid w:val="05EB081E"/>
    <w:rsid w:val="067907A7"/>
    <w:rsid w:val="06F07F7E"/>
    <w:rsid w:val="06F90FFA"/>
    <w:rsid w:val="07830ACB"/>
    <w:rsid w:val="07D17DB0"/>
    <w:rsid w:val="08D5567E"/>
    <w:rsid w:val="092774EF"/>
    <w:rsid w:val="093C5200"/>
    <w:rsid w:val="0A136D35"/>
    <w:rsid w:val="0C5E1C92"/>
    <w:rsid w:val="0C5E579E"/>
    <w:rsid w:val="0CD90B9D"/>
    <w:rsid w:val="0E552547"/>
    <w:rsid w:val="0E7476E7"/>
    <w:rsid w:val="0FCC7428"/>
    <w:rsid w:val="10046446"/>
    <w:rsid w:val="102D1F8D"/>
    <w:rsid w:val="10D30AD5"/>
    <w:rsid w:val="1112598F"/>
    <w:rsid w:val="113E0762"/>
    <w:rsid w:val="11C6025A"/>
    <w:rsid w:val="12A66FA1"/>
    <w:rsid w:val="12D26BC4"/>
    <w:rsid w:val="137D41F7"/>
    <w:rsid w:val="13BD3E54"/>
    <w:rsid w:val="14796923"/>
    <w:rsid w:val="14E87BEE"/>
    <w:rsid w:val="150733D9"/>
    <w:rsid w:val="158A77F0"/>
    <w:rsid w:val="17746151"/>
    <w:rsid w:val="17C76837"/>
    <w:rsid w:val="180B10BC"/>
    <w:rsid w:val="18553E55"/>
    <w:rsid w:val="187D188E"/>
    <w:rsid w:val="18D66DB0"/>
    <w:rsid w:val="196C40C9"/>
    <w:rsid w:val="19DD0836"/>
    <w:rsid w:val="1AF606D9"/>
    <w:rsid w:val="1B6D022C"/>
    <w:rsid w:val="1BEF52C4"/>
    <w:rsid w:val="1C25555D"/>
    <w:rsid w:val="1C3B1F1C"/>
    <w:rsid w:val="1C3D7FF4"/>
    <w:rsid w:val="1DDF5150"/>
    <w:rsid w:val="1E150A2C"/>
    <w:rsid w:val="21AE218C"/>
    <w:rsid w:val="223E0747"/>
    <w:rsid w:val="22587113"/>
    <w:rsid w:val="22A266DE"/>
    <w:rsid w:val="22BA045E"/>
    <w:rsid w:val="22D368D8"/>
    <w:rsid w:val="23224386"/>
    <w:rsid w:val="23906919"/>
    <w:rsid w:val="23FA3D93"/>
    <w:rsid w:val="2416718D"/>
    <w:rsid w:val="24E80818"/>
    <w:rsid w:val="253256E9"/>
    <w:rsid w:val="25740E92"/>
    <w:rsid w:val="265A021C"/>
    <w:rsid w:val="268642F3"/>
    <w:rsid w:val="26B76168"/>
    <w:rsid w:val="270D1AB7"/>
    <w:rsid w:val="287A1946"/>
    <w:rsid w:val="28E23790"/>
    <w:rsid w:val="299D1A48"/>
    <w:rsid w:val="29DB3260"/>
    <w:rsid w:val="2A0C6B09"/>
    <w:rsid w:val="2A134705"/>
    <w:rsid w:val="2A7B7321"/>
    <w:rsid w:val="2AF43C32"/>
    <w:rsid w:val="2BA7738C"/>
    <w:rsid w:val="2BDF4725"/>
    <w:rsid w:val="2CF36A3F"/>
    <w:rsid w:val="2D0C0B5D"/>
    <w:rsid w:val="2D8C0151"/>
    <w:rsid w:val="2F674FC2"/>
    <w:rsid w:val="300F1FF9"/>
    <w:rsid w:val="303F6E9B"/>
    <w:rsid w:val="30566085"/>
    <w:rsid w:val="309061AB"/>
    <w:rsid w:val="30BC67E5"/>
    <w:rsid w:val="31A658E6"/>
    <w:rsid w:val="31CC7E4A"/>
    <w:rsid w:val="326A337C"/>
    <w:rsid w:val="327D0E4A"/>
    <w:rsid w:val="32D560F7"/>
    <w:rsid w:val="34AA5361"/>
    <w:rsid w:val="35134C92"/>
    <w:rsid w:val="3605253C"/>
    <w:rsid w:val="363E45D7"/>
    <w:rsid w:val="36B05734"/>
    <w:rsid w:val="38165565"/>
    <w:rsid w:val="3A691D31"/>
    <w:rsid w:val="3AB87F27"/>
    <w:rsid w:val="3B9B7585"/>
    <w:rsid w:val="3BA6683D"/>
    <w:rsid w:val="3DA319AD"/>
    <w:rsid w:val="3DB122E7"/>
    <w:rsid w:val="3E1B2EC2"/>
    <w:rsid w:val="3E4217E5"/>
    <w:rsid w:val="3EA550CA"/>
    <w:rsid w:val="4006733E"/>
    <w:rsid w:val="40AC6FF2"/>
    <w:rsid w:val="40CE20FB"/>
    <w:rsid w:val="40F7128F"/>
    <w:rsid w:val="42992DE0"/>
    <w:rsid w:val="43317153"/>
    <w:rsid w:val="437C2E8C"/>
    <w:rsid w:val="439216E8"/>
    <w:rsid w:val="43AB4066"/>
    <w:rsid w:val="43D134B3"/>
    <w:rsid w:val="442962A2"/>
    <w:rsid w:val="44342243"/>
    <w:rsid w:val="44814E46"/>
    <w:rsid w:val="44C01547"/>
    <w:rsid w:val="45213A18"/>
    <w:rsid w:val="459F064A"/>
    <w:rsid w:val="462D37C9"/>
    <w:rsid w:val="470A110B"/>
    <w:rsid w:val="488C6ADC"/>
    <w:rsid w:val="490F180B"/>
    <w:rsid w:val="499E503D"/>
    <w:rsid w:val="4A92083C"/>
    <w:rsid w:val="4AAA17BF"/>
    <w:rsid w:val="4B0959E2"/>
    <w:rsid w:val="4BE8259F"/>
    <w:rsid w:val="4C170558"/>
    <w:rsid w:val="4C7C008C"/>
    <w:rsid w:val="4C8A5D4C"/>
    <w:rsid w:val="4D1B69A4"/>
    <w:rsid w:val="50FD6C87"/>
    <w:rsid w:val="521A722A"/>
    <w:rsid w:val="531C7838"/>
    <w:rsid w:val="534053B7"/>
    <w:rsid w:val="53774C4D"/>
    <w:rsid w:val="53EC68D0"/>
    <w:rsid w:val="546A7D01"/>
    <w:rsid w:val="55807741"/>
    <w:rsid w:val="55FE36B7"/>
    <w:rsid w:val="56C92575"/>
    <w:rsid w:val="577E1716"/>
    <w:rsid w:val="57C27A1D"/>
    <w:rsid w:val="580746F5"/>
    <w:rsid w:val="587A7F42"/>
    <w:rsid w:val="58A40196"/>
    <w:rsid w:val="594927E7"/>
    <w:rsid w:val="594E4D8F"/>
    <w:rsid w:val="59CC0B23"/>
    <w:rsid w:val="5A1D3D5C"/>
    <w:rsid w:val="5B4238B3"/>
    <w:rsid w:val="5D704F4C"/>
    <w:rsid w:val="5D714B64"/>
    <w:rsid w:val="5F3F4774"/>
    <w:rsid w:val="604F4E8B"/>
    <w:rsid w:val="60A923F3"/>
    <w:rsid w:val="61397812"/>
    <w:rsid w:val="62623A6B"/>
    <w:rsid w:val="63C70CFF"/>
    <w:rsid w:val="662C12B2"/>
    <w:rsid w:val="664001ED"/>
    <w:rsid w:val="665030C4"/>
    <w:rsid w:val="66907302"/>
    <w:rsid w:val="67C658D2"/>
    <w:rsid w:val="69496543"/>
    <w:rsid w:val="6B092BF0"/>
    <w:rsid w:val="6B264A3A"/>
    <w:rsid w:val="6B5430AF"/>
    <w:rsid w:val="6C4A33DF"/>
    <w:rsid w:val="6C68589C"/>
    <w:rsid w:val="6C811E21"/>
    <w:rsid w:val="6E2E43D5"/>
    <w:rsid w:val="6EC7750E"/>
    <w:rsid w:val="6FF85C4A"/>
    <w:rsid w:val="71247CAF"/>
    <w:rsid w:val="72211D43"/>
    <w:rsid w:val="722F393D"/>
    <w:rsid w:val="73005B71"/>
    <w:rsid w:val="740851E0"/>
    <w:rsid w:val="747D1B7D"/>
    <w:rsid w:val="74AC5DFA"/>
    <w:rsid w:val="74F205F2"/>
    <w:rsid w:val="755727FB"/>
    <w:rsid w:val="765673B1"/>
    <w:rsid w:val="777C59E3"/>
    <w:rsid w:val="78805490"/>
    <w:rsid w:val="78B05378"/>
    <w:rsid w:val="79481D63"/>
    <w:rsid w:val="79587C6F"/>
    <w:rsid w:val="79652BD2"/>
    <w:rsid w:val="7B4E7DC1"/>
    <w:rsid w:val="7B817AF6"/>
    <w:rsid w:val="7BAC3BA5"/>
    <w:rsid w:val="7C576EA1"/>
    <w:rsid w:val="7CBF5CDA"/>
    <w:rsid w:val="7D910439"/>
    <w:rsid w:val="7E74194A"/>
    <w:rsid w:val="7EAD7CC1"/>
    <w:rsid w:val="7EAE4115"/>
    <w:rsid w:val="7ECB1EA2"/>
    <w:rsid w:val="7EFB2FC8"/>
    <w:rsid w:val="7F215ECB"/>
    <w:rsid w:val="7F6E1890"/>
    <w:rsid w:val="7F945DB7"/>
    <w:rsid w:val="7FF5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4"/>
    <w:basedOn w:val="1"/>
    <w:next w:val="1"/>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23"/>
    <w:autoRedefine/>
    <w:qFormat/>
    <w:uiPriority w:val="0"/>
    <w:pPr>
      <w:jc w:val="left"/>
    </w:pPr>
  </w:style>
  <w:style w:type="paragraph" w:styleId="5">
    <w:name w:val="Body Text Indent"/>
    <w:basedOn w:val="1"/>
    <w:autoRedefine/>
    <w:qFormat/>
    <w:uiPriority w:val="0"/>
    <w:pPr>
      <w:spacing w:line="360" w:lineRule="exact"/>
      <w:ind w:firstLine="435"/>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4"/>
    <w:autoRedefine/>
    <w:qFormat/>
    <w:uiPriority w:val="0"/>
    <w:rPr>
      <w:b/>
      <w:bCs/>
    </w:rPr>
  </w:style>
  <w:style w:type="table" w:styleId="11">
    <w:name w:val="Table Grid"/>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autoRedefine/>
    <w:qFormat/>
    <w:uiPriority w:val="0"/>
  </w:style>
  <w:style w:type="character" w:styleId="14">
    <w:name w:val="annotation reference"/>
    <w:basedOn w:val="12"/>
    <w:autoRedefine/>
    <w:qFormat/>
    <w:uiPriority w:val="0"/>
    <w:rPr>
      <w:sz w:val="21"/>
      <w:szCs w:val="21"/>
    </w:rPr>
  </w:style>
  <w:style w:type="paragraph" w:customStyle="1" w:styleId="15">
    <w:name w:val="K&amp;W Body text"/>
    <w:basedOn w:val="1"/>
    <w:autoRedefine/>
    <w:qFormat/>
    <w:uiPriority w:val="0"/>
    <w:pPr>
      <w:widowControl/>
      <w:spacing w:after="360" w:line="320" w:lineRule="atLeast"/>
      <w:ind w:firstLine="567"/>
    </w:pPr>
    <w:rPr>
      <w:rFonts w:ascii="Arial" w:hAnsi="Arial" w:eastAsia="楷体_GB2312" w:cs="Times New Roman"/>
      <w:kern w:val="0"/>
      <w:sz w:val="24"/>
      <w:szCs w:val="20"/>
      <w:lang w:eastAsia="en-US"/>
    </w:rPr>
  </w:style>
  <w:style w:type="paragraph" w:customStyle="1" w:styleId="16">
    <w:name w:val="K&amp;W heading 2"/>
    <w:basedOn w:val="17"/>
    <w:autoRedefine/>
    <w:qFormat/>
    <w:uiPriority w:val="0"/>
    <w:pPr>
      <w:widowControl w:val="0"/>
      <w:tabs>
        <w:tab w:val="left" w:pos="1419"/>
      </w:tabs>
      <w:spacing w:line="320" w:lineRule="exact"/>
      <w:ind w:left="1320" w:hanging="420"/>
      <w:outlineLvl w:val="1"/>
    </w:pPr>
    <w:rPr>
      <w:color w:val="auto"/>
    </w:rPr>
  </w:style>
  <w:style w:type="paragraph" w:customStyle="1" w:styleId="17">
    <w:name w:val="K&amp;W Normal"/>
    <w:autoRedefine/>
    <w:qFormat/>
    <w:uiPriority w:val="0"/>
    <w:pPr>
      <w:spacing w:after="360" w:line="320" w:lineRule="atLeast"/>
      <w:jc w:val="both"/>
    </w:pPr>
    <w:rPr>
      <w:rFonts w:ascii="Arial" w:hAnsi="Arial" w:eastAsia="楷体_GB2312" w:cs="Times New Roman"/>
      <w:color w:val="000000"/>
      <w:sz w:val="24"/>
      <w:lang w:val="en-US" w:eastAsia="en-US" w:bidi="ar-SA"/>
    </w:rPr>
  </w:style>
  <w:style w:type="paragraph" w:customStyle="1" w:styleId="18">
    <w:name w:val="K&amp;W heading 3"/>
    <w:basedOn w:val="17"/>
    <w:autoRedefine/>
    <w:qFormat/>
    <w:uiPriority w:val="0"/>
    <w:pPr>
      <w:tabs>
        <w:tab w:val="left" w:pos="1845"/>
      </w:tabs>
      <w:spacing w:line="320" w:lineRule="exact"/>
      <w:ind w:left="1740" w:hanging="420"/>
      <w:outlineLvl w:val="2"/>
    </w:pPr>
    <w:rPr>
      <w:color w:val="auto"/>
    </w:rPr>
  </w:style>
  <w:style w:type="paragraph" w:customStyle="1" w:styleId="19">
    <w:name w:val="K&amp;W heading 1"/>
    <w:basedOn w:val="17"/>
    <w:next w:val="16"/>
    <w:autoRedefine/>
    <w:qFormat/>
    <w:uiPriority w:val="0"/>
    <w:pPr>
      <w:widowControl w:val="0"/>
      <w:tabs>
        <w:tab w:val="left" w:pos="851"/>
      </w:tabs>
      <w:spacing w:line="320" w:lineRule="exact"/>
      <w:ind w:left="900" w:hanging="420"/>
      <w:outlineLvl w:val="0"/>
    </w:pPr>
    <w:rPr>
      <w:b/>
      <w:color w:val="auto"/>
      <w:sz w:val="28"/>
    </w:rPr>
  </w:style>
  <w:style w:type="paragraph" w:styleId="20">
    <w:name w:val="List Paragraph"/>
    <w:basedOn w:val="1"/>
    <w:autoRedefine/>
    <w:qFormat/>
    <w:uiPriority w:val="34"/>
    <w:pPr>
      <w:ind w:firstLine="420" w:firstLineChars="200"/>
    </w:pPr>
  </w:style>
  <w:style w:type="character" w:customStyle="1" w:styleId="21">
    <w:name w:val="样式4"/>
    <w:basedOn w:val="12"/>
    <w:autoRedefine/>
    <w:qFormat/>
    <w:uiPriority w:val="1"/>
    <w:rPr>
      <w:b/>
    </w:rPr>
  </w:style>
  <w:style w:type="paragraph" w:customStyle="1" w:styleId="2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批注文字 字符"/>
    <w:basedOn w:val="12"/>
    <w:link w:val="4"/>
    <w:autoRedefine/>
    <w:qFormat/>
    <w:uiPriority w:val="0"/>
    <w:rPr>
      <w:rFonts w:asciiTheme="minorHAnsi" w:hAnsiTheme="minorHAnsi" w:eastAsiaTheme="minorEastAsia" w:cstheme="minorBidi"/>
      <w:kern w:val="2"/>
      <w:sz w:val="21"/>
      <w:szCs w:val="22"/>
    </w:rPr>
  </w:style>
  <w:style w:type="character" w:customStyle="1" w:styleId="24">
    <w:name w:val="批注主题 字符"/>
    <w:basedOn w:val="23"/>
    <w:link w:val="9"/>
    <w:autoRedefine/>
    <w:qFormat/>
    <w:uiPriority w:val="0"/>
    <w:rPr>
      <w:rFonts w:asciiTheme="minorHAnsi" w:hAnsiTheme="minorHAnsi" w:eastAsiaTheme="minorEastAsia" w:cstheme="minorBidi"/>
      <w:b/>
      <w:bCs/>
      <w:kern w:val="2"/>
      <w:sz w:val="21"/>
      <w:szCs w:val="22"/>
    </w:rPr>
  </w:style>
  <w:style w:type="paragraph" w:customStyle="1" w:styleId="2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styleId="26">
    <w:name w:val="Placeholder Text"/>
    <w:basedOn w:val="12"/>
    <w:autoRedefine/>
    <w:semiHidden/>
    <w:qFormat/>
    <w:uiPriority w:val="99"/>
    <w:rPr>
      <w:color w:val="808080"/>
    </w:rPr>
  </w:style>
  <w:style w:type="paragraph" w:customStyle="1" w:styleId="27">
    <w:name w:val="msonormal 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2067</Words>
  <Characters>2287</Characters>
  <Lines>71</Lines>
  <Paragraphs>20</Paragraphs>
  <TotalTime>0</TotalTime>
  <ScaleCrop>false</ScaleCrop>
  <LinksUpToDate>false</LinksUpToDate>
  <CharactersWithSpaces>2307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2022-06-06T02:27:00Z</dcterms:created>
  <dc:creator>liaoz</dc:creator>
  <cp:lastModifiedBy>竹子</cp:lastModifiedBy>
  <dcterms:modified xsi:type="dcterms:W3CDTF">2024-08-13T01:03:42Z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DB3C5CA3D1604C88BC35D350E8704DAE</vt:lpwstr>
  </property>
</Properties>
</file>