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abs>
          <w:tab w:val="right" w:leader="dot" w:pos="9471"/>
        </w:tabs>
        <w:kinsoku/>
        <w:topLinePunct w:val="0"/>
        <w:bidi w:val="0"/>
        <w:spacing w:line="360" w:lineRule="auto"/>
        <w:jc w:val="center"/>
        <w:rPr>
          <w:rFonts w:hint="eastAsia" w:ascii="宋体" w:hAnsi="宋体"/>
          <w:b/>
          <w:bCs/>
          <w:sz w:val="32"/>
          <w:szCs w:val="32"/>
        </w:rPr>
      </w:pPr>
      <w:r>
        <w:rPr>
          <w:rFonts w:hint="eastAsia" w:ascii="宋体" w:hAnsi="宋体"/>
          <w:b/>
          <w:bCs/>
          <w:sz w:val="32"/>
          <w:szCs w:val="32"/>
        </w:rPr>
        <w:t>舍得酒业股份有限公司</w:t>
      </w:r>
    </w:p>
    <w:p>
      <w:pPr>
        <w:pageBreakBefore w:val="0"/>
        <w:tabs>
          <w:tab w:val="right" w:leader="dot" w:pos="9471"/>
        </w:tabs>
        <w:kinsoku/>
        <w:topLinePunct w:val="0"/>
        <w:bidi w:val="0"/>
        <w:spacing w:line="360" w:lineRule="auto"/>
        <w:jc w:val="center"/>
        <w:rPr>
          <w:rFonts w:hint="eastAsia" w:ascii="宋体" w:hAnsi="宋体" w:eastAsia="宋体" w:cs="Times New Roman"/>
          <w:b/>
          <w:bCs/>
          <w:sz w:val="32"/>
          <w:szCs w:val="32"/>
        </w:rPr>
      </w:pPr>
      <w:r>
        <w:rPr>
          <w:rFonts w:hint="eastAsia" w:ascii="宋体" w:hAnsi="宋体" w:eastAsia="宋体" w:cs="Times New Roman"/>
          <w:b/>
          <w:bCs/>
          <w:sz w:val="32"/>
          <w:szCs w:val="32"/>
          <w:lang w:val="en-US" w:eastAsia="zh-CN"/>
        </w:rPr>
        <w:t>生态水车间扩建项目-原水管道工程</w:t>
      </w:r>
    </w:p>
    <w:p>
      <w:pPr>
        <w:pageBreakBefore w:val="0"/>
        <w:tabs>
          <w:tab w:val="right" w:leader="dot" w:pos="9471"/>
        </w:tabs>
        <w:kinsoku/>
        <w:topLinePunct w:val="0"/>
        <w:bidi w:val="0"/>
        <w:spacing w:line="360" w:lineRule="auto"/>
        <w:jc w:val="center"/>
        <w:rPr>
          <w:rFonts w:hint="eastAsia" w:ascii="宋体" w:hAnsi="宋体"/>
          <w:b/>
          <w:bCs/>
          <w:color w:val="auto"/>
          <w:sz w:val="32"/>
          <w:szCs w:val="32"/>
        </w:rPr>
      </w:pPr>
      <w:r>
        <w:rPr>
          <w:rFonts w:hint="eastAsia" w:ascii="宋体" w:hAnsi="宋体"/>
          <w:b/>
          <w:bCs/>
          <w:color w:val="auto"/>
          <w:sz w:val="32"/>
          <w:szCs w:val="32"/>
        </w:rPr>
        <w:t>招标公告（资格预审）</w:t>
      </w:r>
    </w:p>
    <w:p>
      <w:pPr>
        <w:pageBreakBefore w:val="0"/>
        <w:tabs>
          <w:tab w:val="right" w:leader="dot" w:pos="9471"/>
        </w:tabs>
        <w:kinsoku/>
        <w:topLinePunct w:val="0"/>
        <w:bidi w:val="0"/>
        <w:spacing w:line="360" w:lineRule="auto"/>
        <w:jc w:val="center"/>
        <w:rPr>
          <w:rFonts w:hint="eastAsia" w:ascii="宋体" w:hAnsi="宋体"/>
          <w:bCs/>
          <w:color w:val="FF0000"/>
          <w:sz w:val="24"/>
        </w:rPr>
      </w:pPr>
      <w:r>
        <w:rPr>
          <w:rFonts w:hint="eastAsia" w:ascii="宋体" w:hAnsi="宋体"/>
          <w:bCs/>
          <w:sz w:val="24"/>
        </w:rPr>
        <w:t>招标编号：</w:t>
      </w:r>
      <w:r>
        <w:rPr>
          <w:rFonts w:hint="eastAsia" w:ascii="宋体" w:hAnsi="宋体"/>
          <w:bCs/>
          <w:color w:val="auto"/>
          <w:sz w:val="24"/>
        </w:rPr>
        <w:t>舍司招[202</w:t>
      </w:r>
      <w:r>
        <w:rPr>
          <w:rFonts w:hint="eastAsia" w:ascii="宋体" w:hAnsi="宋体"/>
          <w:bCs/>
          <w:color w:val="auto"/>
          <w:sz w:val="24"/>
          <w:lang w:val="en-US" w:eastAsia="zh-CN"/>
        </w:rPr>
        <w:t>4</w:t>
      </w:r>
      <w:r>
        <w:rPr>
          <w:rFonts w:hint="eastAsia" w:ascii="宋体" w:hAnsi="宋体"/>
          <w:bCs/>
          <w:color w:val="auto"/>
          <w:sz w:val="24"/>
        </w:rPr>
        <w:t>]ZC2-0</w:t>
      </w:r>
      <w:r>
        <w:rPr>
          <w:rFonts w:hint="eastAsia" w:ascii="宋体" w:hAnsi="宋体"/>
          <w:bCs/>
          <w:color w:val="auto"/>
          <w:sz w:val="24"/>
          <w:lang w:val="en-US" w:eastAsia="zh-CN"/>
        </w:rPr>
        <w:t>25</w:t>
      </w:r>
      <w:r>
        <w:rPr>
          <w:rFonts w:hint="eastAsia" w:ascii="宋体" w:hAnsi="宋体"/>
          <w:bCs/>
          <w:color w:val="auto"/>
          <w:sz w:val="24"/>
        </w:rPr>
        <w:t>号</w:t>
      </w:r>
    </w:p>
    <w:p>
      <w:pPr>
        <w:pageBreakBefore w:val="0"/>
        <w:kinsoku/>
        <w:topLinePunct w:val="0"/>
        <w:bidi w:val="0"/>
        <w:spacing w:line="360" w:lineRule="auto"/>
        <w:rPr>
          <w:rFonts w:hint="eastAsia" w:ascii="宋体" w:hAnsi="宋体"/>
          <w:b/>
          <w:sz w:val="24"/>
        </w:rPr>
      </w:pPr>
      <w:r>
        <w:rPr>
          <w:rFonts w:hint="eastAsia" w:ascii="宋体" w:hAnsi="宋体"/>
          <w:b/>
          <w:sz w:val="24"/>
        </w:rPr>
        <w:t>一.招标条件</w:t>
      </w:r>
    </w:p>
    <w:p>
      <w:pPr>
        <w:keepNext w:val="0"/>
        <w:keepLines w:val="0"/>
        <w:pageBreakBefore w:val="0"/>
        <w:widowControl w:val="0"/>
        <w:tabs>
          <w:tab w:val="right" w:leader="dot" w:pos="9471"/>
        </w:tabs>
        <w:kinsoku/>
        <w:wordWrap/>
        <w:overflowPunct/>
        <w:topLinePunct w:val="0"/>
        <w:autoSpaceDE/>
        <w:autoSpaceDN/>
        <w:bidi w:val="0"/>
        <w:adjustRightInd/>
        <w:snapToGrid/>
        <w:spacing w:line="360" w:lineRule="auto"/>
        <w:jc w:val="left"/>
        <w:textAlignment w:val="auto"/>
        <w:rPr>
          <w:rFonts w:hint="eastAsia" w:ascii="宋体" w:hAnsi="宋体" w:cs="宋体"/>
          <w:sz w:val="24"/>
        </w:rPr>
      </w:pPr>
      <w:r>
        <w:rPr>
          <w:rFonts w:hint="eastAsia" w:ascii="宋体" w:hAnsi="宋体" w:cs="宋体"/>
          <w:sz w:val="24"/>
        </w:rPr>
        <w:t xml:space="preserve">    </w:t>
      </w:r>
      <w:r>
        <w:rPr>
          <w:rFonts w:hint="eastAsia" w:ascii="宋体" w:hAnsi="宋体" w:eastAsia="宋体" w:cs="宋体"/>
          <w:sz w:val="24"/>
          <w:lang w:val="en-US" w:eastAsia="zh-CN"/>
        </w:rPr>
        <w:t>本招标项目生态水车间扩建项目-原水管道工程已由舍得酒业股份有限公司确定实施，项目业主为 舍得酒业股份有限公司 ，建设资金来自 业主自筹 ，项目出资比例为 100% ，招标人为舍得酒业股份有限公司。项目已具备招标条件，现对该项目进行公开招标，欢迎有兴趣的潜在投标人递交书面的资格预审文件，并通过资格预审程序确定合格的投标人邀请名单。</w:t>
      </w:r>
    </w:p>
    <w:p>
      <w:pPr>
        <w:pageBreakBefore w:val="0"/>
        <w:kinsoku/>
        <w:topLinePunct w:val="0"/>
        <w:bidi w:val="0"/>
        <w:spacing w:line="360" w:lineRule="auto"/>
        <w:rPr>
          <w:rFonts w:hint="eastAsia" w:ascii="宋体" w:hAnsi="宋体"/>
          <w:b/>
          <w:sz w:val="24"/>
        </w:rPr>
      </w:pPr>
      <w:r>
        <w:rPr>
          <w:rFonts w:hint="eastAsia" w:ascii="宋体" w:hAnsi="宋体"/>
          <w:b/>
          <w:sz w:val="24"/>
        </w:rPr>
        <w:t xml:space="preserve">二.项目概况与招标范围 </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2.1 项目名称：</w:t>
      </w:r>
      <w:r>
        <w:rPr>
          <w:rFonts w:hint="eastAsia" w:ascii="宋体" w:hAnsi="宋体" w:eastAsia="宋体" w:cs="宋体"/>
          <w:sz w:val="24"/>
          <w:lang w:val="en-US" w:eastAsia="zh-CN"/>
        </w:rPr>
        <w:t>生态水车间扩建项目-原水管道工程</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2.2 项目地址：四川省射洪市沱牌镇沱牌大道999号</w:t>
      </w:r>
    </w:p>
    <w:p>
      <w:pPr>
        <w:pageBreakBefore w:val="0"/>
        <w:kinsoku/>
        <w:topLinePunct w:val="0"/>
        <w:bidi w:val="0"/>
        <w:adjustRightInd w:val="0"/>
        <w:snapToGrid w:val="0"/>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2.3 项目概况：管道从4#沱泉站内出泵房阀门井（含DN500阀门及配套法兰、阀门井）处起，至生态水车间项目红线范围内DN500阀门（含）米处止。从1#沱泉泵房内DN300不锈钢主管出口法兰处起，至滨江公园4#沱泉原水管道主管并与主管连接</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2.4招标范围：</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4.1</w:t>
      </w:r>
      <w:r>
        <w:rPr>
          <w:rFonts w:hint="eastAsia" w:ascii="宋体" w:hAnsi="宋体" w:eastAsia="宋体" w:cs="宋体"/>
          <w:sz w:val="24"/>
          <w:highlight w:val="none"/>
          <w:lang w:val="en-US" w:eastAsia="zh-CN"/>
        </w:rPr>
        <w:t xml:space="preserve"> 4#沱泉原水管道改造</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从4#沱泉站内出泵房阀门井（含DN500阀门和阀门井）处至生态水车间项目红线范围内DN500阀门（含）处止的原水管网，含管线工程所涉及的所有管道、阀门、管件、水表及附属设施的供货、安装、试压等。</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4.2 1#沱泉原水管道改造</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从1#沱泉泵房内DN300不锈钢主管出口法兰处至滨江公园4#沱泉原水管道主管（碰管）的原水管网，含管线工程所涉及的所有管道、阀门、管件、水表及附属设施的供货、安装、试压等。</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4.3 土建内容</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以上所有管道安装所需的所有土建施工，包含过桥段人行道改造、栏杆加高、支墩、顶管施工、破路、开挖、基础夯实、垫层、回填、包封、道路原状恢复、余土转运及阀门井的砌筑等。</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4.4其它工作内容</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2.4.4.1</w:t>
      </w:r>
      <w:r>
        <w:rPr>
          <w:rFonts w:hint="eastAsia" w:ascii="宋体" w:hAnsi="宋体" w:eastAsia="宋体" w:cs="宋体"/>
          <w:sz w:val="24"/>
          <w:highlight w:val="none"/>
          <w:lang w:val="en-US" w:eastAsia="zh-CN"/>
        </w:rPr>
        <w:t>以能满足招标方安装、运行要求为原则。在技术规范中涉及的供货要求也作为本供货范围的补充，若在安装、调试、运行中发现缺项（属投标方供货范围）由投标方补充。投标方应填写并附上供货明细表。</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4.4.2 采取必要的措施减少施工期间对周围的影响，确保施工安全，达到防尘降噪的效果，提高文明施工的水平，根据施工需要设置施工临时围挡、喷雾等。</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4.4.3 设备材料移交使用前的一切安全文明施工管理、设备材料管理、质量管理、试运行等工作，并承担相关责任。</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2.4.4.4施工过程资料、竣工资料（竣工图、隐蔽资料、过程资料等）的编制，且与其他供应商/施工方的密切配合。</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 质量保证期：2年，质保期的起始时间从双方签署的竣工验收合格报告之日起计算。</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2.6质量标准：合格。符合现行国家、行业以及地方强制性和推荐性规范、标准要求，满足现场环境使用需求。</w:t>
      </w:r>
    </w:p>
    <w:p>
      <w:pPr>
        <w:pageBreakBefore w:val="0"/>
        <w:kinsoku/>
        <w:topLinePunct w:val="0"/>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2.7 工期：150个日历天；开工时间以监理方发出正式开工令为准。</w:t>
      </w:r>
    </w:p>
    <w:p>
      <w:pPr>
        <w:pageBreakBefore w:val="0"/>
        <w:kinsoku/>
        <w:topLinePunct w:val="0"/>
        <w:bidi w:val="0"/>
        <w:adjustRightInd w:val="0"/>
        <w:snapToGrid w:val="0"/>
        <w:spacing w:line="360" w:lineRule="auto"/>
        <w:ind w:firstLine="482" w:firstLineChars="200"/>
        <w:rPr>
          <w:rFonts w:hint="eastAsia" w:ascii="宋体" w:hAnsi="宋体" w:cs="宋体"/>
          <w:b/>
          <w:bCs/>
          <w:sz w:val="24"/>
          <w:highlight w:val="none"/>
        </w:rPr>
      </w:pPr>
      <w:bookmarkStart w:id="0" w:name="_Toc24852"/>
      <w:r>
        <w:rPr>
          <w:rFonts w:hint="eastAsia" w:ascii="宋体" w:hAnsi="宋体" w:cs="宋体"/>
          <w:b/>
          <w:bCs/>
          <w:sz w:val="24"/>
          <w:highlight w:val="none"/>
          <w:lang w:val="en-US" w:eastAsia="zh-CN"/>
        </w:rPr>
        <w:t>三</w:t>
      </w:r>
      <w:r>
        <w:rPr>
          <w:rFonts w:ascii="宋体" w:hAnsi="宋体" w:cs="宋体"/>
          <w:b/>
          <w:bCs/>
          <w:sz w:val="24"/>
          <w:highlight w:val="none"/>
        </w:rPr>
        <w:t>、资格审查必要合格条件</w:t>
      </w:r>
    </w:p>
    <w:bookmarkEnd w:id="0"/>
    <w:p>
      <w:pPr>
        <w:pageBreakBefore w:val="0"/>
        <w:tabs>
          <w:tab w:val="right" w:leader="dot" w:pos="9471"/>
        </w:tabs>
        <w:kinsoku/>
        <w:topLinePunct w:val="0"/>
        <w:autoSpaceDE w:val="0"/>
        <w:autoSpaceDN w:val="0"/>
        <w:bidi w:val="0"/>
        <w:adjustRightInd w:val="0"/>
        <w:spacing w:line="360" w:lineRule="auto"/>
        <w:ind w:firstLine="480" w:firstLineChars="200"/>
        <w:rPr>
          <w:rFonts w:hint="eastAsia" w:ascii="宋体" w:hAnsi="宋体" w:cs="宋体"/>
          <w:sz w:val="24"/>
          <w:highlight w:val="none"/>
        </w:rPr>
      </w:pPr>
      <w:r>
        <w:rPr>
          <w:rFonts w:hint="eastAsia" w:ascii="宋体" w:hAnsi="宋体" w:cs="宋体"/>
          <w:sz w:val="24"/>
          <w:lang w:val="en-US" w:eastAsia="zh-CN"/>
        </w:rPr>
        <w:t>3</w:t>
      </w:r>
      <w:r>
        <w:rPr>
          <w:rFonts w:hint="eastAsia" w:ascii="宋体" w:hAnsi="宋体" w:cs="宋体"/>
          <w:sz w:val="24"/>
        </w:rPr>
        <w:t xml:space="preserve">.1 </w:t>
      </w:r>
      <w:r>
        <w:rPr>
          <w:rFonts w:hint="eastAsia" w:ascii="宋体" w:hAnsi="宋体" w:cs="宋体"/>
          <w:kern w:val="0"/>
          <w:sz w:val="24"/>
          <w:highlight w:val="none"/>
          <w:lang w:val="zh-CN"/>
        </w:rPr>
        <w:t>投标人须是具有独立法人资格并依法取得企业营业执照，营业执照处于有效期；注册资本不低于人民币</w:t>
      </w: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000万元且实缴资本不低于</w:t>
      </w:r>
      <w:r>
        <w:rPr>
          <w:rFonts w:hint="eastAsia" w:ascii="宋体" w:hAnsi="宋体" w:cs="宋体"/>
          <w:kern w:val="0"/>
          <w:sz w:val="24"/>
          <w:highlight w:val="none"/>
          <w:lang w:val="en-US" w:eastAsia="zh-CN"/>
        </w:rPr>
        <w:t>500</w:t>
      </w:r>
      <w:r>
        <w:rPr>
          <w:rFonts w:hint="eastAsia" w:ascii="宋体" w:hAnsi="宋体" w:cs="宋体"/>
          <w:kern w:val="0"/>
          <w:sz w:val="24"/>
          <w:highlight w:val="none"/>
          <w:lang w:val="zh-CN"/>
        </w:rPr>
        <w:t>万元，为一般纳税人</w:t>
      </w:r>
      <w:r>
        <w:rPr>
          <w:rFonts w:hint="eastAsia" w:ascii="宋体" w:hAnsi="宋体"/>
        </w:rPr>
        <w:t>【提供实缴资本证明复印件或扫描件】</w:t>
      </w:r>
      <w:r>
        <w:rPr>
          <w:rFonts w:hint="eastAsia" w:ascii="宋体" w:hAnsi="宋体" w:cs="宋体"/>
          <w:kern w:val="0"/>
          <w:sz w:val="24"/>
          <w:highlight w:val="none"/>
          <w:lang w:val="zh-CN"/>
        </w:rPr>
        <w:t>。</w:t>
      </w:r>
    </w:p>
    <w:p>
      <w:pPr>
        <w:pageBreakBefore w:val="0"/>
        <w:kinsoku/>
        <w:topLinePunct w:val="0"/>
        <w:bidi w:val="0"/>
        <w:spacing w:line="360" w:lineRule="auto"/>
        <w:ind w:firstLine="48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3.2</w:t>
      </w:r>
      <w:r>
        <w:rPr>
          <w:rFonts w:hint="eastAsia" w:ascii="宋体" w:hAnsi="宋体" w:cs="宋体"/>
          <w:color w:val="auto"/>
          <w:sz w:val="24"/>
          <w:highlight w:val="none"/>
        </w:rPr>
        <w:t>投标人应具备建设行政主管部门颁发的有效的市政公用工程施工总承包资质</w:t>
      </w:r>
      <w:r>
        <w:rPr>
          <w:rFonts w:hint="eastAsia" w:ascii="宋体" w:hAnsi="宋体" w:cs="宋体"/>
          <w:color w:val="auto"/>
          <w:sz w:val="24"/>
          <w:highlight w:val="none"/>
          <w:lang w:val="en-US" w:eastAsia="zh-CN"/>
        </w:rPr>
        <w:t>三</w:t>
      </w:r>
      <w:r>
        <w:rPr>
          <w:rFonts w:hint="eastAsia" w:ascii="宋体" w:hAnsi="宋体" w:cs="宋体"/>
          <w:color w:val="auto"/>
          <w:sz w:val="24"/>
          <w:highlight w:val="none"/>
          <w:lang w:eastAsia="zh-CN"/>
        </w:rPr>
        <w:t>级及以上</w:t>
      </w:r>
      <w:r>
        <w:rPr>
          <w:rFonts w:hint="eastAsia" w:ascii="宋体" w:hAnsi="宋体" w:cs="宋体"/>
          <w:color w:val="auto"/>
          <w:sz w:val="24"/>
          <w:highlight w:val="none"/>
        </w:rPr>
        <w:t>资质</w:t>
      </w:r>
      <w:r>
        <w:rPr>
          <w:rFonts w:hint="eastAsia" w:ascii="宋体" w:hAnsi="宋体" w:cs="宋体"/>
          <w:color w:val="auto"/>
          <w:sz w:val="24"/>
          <w:highlight w:val="none"/>
          <w:lang w:eastAsia="zh-CN"/>
        </w:rPr>
        <w:t>，具有有效的安全生产许可证</w:t>
      </w:r>
      <w:r>
        <w:rPr>
          <w:rFonts w:hint="eastAsia" w:ascii="宋体" w:hAnsi="宋体" w:eastAsia="宋体" w:cs="宋体"/>
          <w:b w:val="0"/>
          <w:bCs w:val="0"/>
          <w:kern w:val="2"/>
          <w:sz w:val="24"/>
          <w:szCs w:val="24"/>
          <w:lang w:val="en-US" w:eastAsia="zh-CN" w:bidi="ar-SA"/>
        </w:rPr>
        <w:t>。</w:t>
      </w:r>
    </w:p>
    <w:p>
      <w:pPr>
        <w:tabs>
          <w:tab w:val="right" w:leader="dot" w:pos="9471"/>
        </w:tabs>
        <w:autoSpaceDE w:val="0"/>
        <w:autoSpaceDN w:val="0"/>
        <w:adjustRightInd w:val="0"/>
        <w:spacing w:line="360" w:lineRule="auto"/>
        <w:ind w:firstLine="480" w:firstLineChars="200"/>
        <w:rPr>
          <w:rFonts w:hint="eastAsia"/>
          <w:lang w:val="en-US" w:eastAsia="zh-CN"/>
        </w:rPr>
      </w:pPr>
      <w:r>
        <w:rPr>
          <w:rFonts w:hint="eastAsia" w:ascii="宋体" w:hAnsi="宋体"/>
          <w:sz w:val="24"/>
          <w:highlight w:val="none"/>
          <w:lang w:val="en-US" w:eastAsia="zh-CN"/>
        </w:rPr>
        <w:t>3.3 人员要求：</w:t>
      </w:r>
    </w:p>
    <w:p>
      <w:pPr>
        <w:tabs>
          <w:tab w:val="right" w:leader="dot" w:pos="9471"/>
        </w:tabs>
        <w:autoSpaceDE w:val="0"/>
        <w:autoSpaceDN w:val="0"/>
        <w:adjustRightInd w:val="0"/>
        <w:spacing w:line="360" w:lineRule="auto"/>
        <w:ind w:firstLine="480" w:firstLineChars="200"/>
        <w:rPr>
          <w:rFonts w:hint="eastAsia" w:ascii="宋体" w:hAnsi="宋体" w:cs="宋体"/>
          <w:color w:val="auto"/>
          <w:kern w:val="0"/>
          <w:sz w:val="24"/>
          <w:highlight w:val="none"/>
          <w:lang w:val="en-US" w:eastAsia="zh-CN"/>
        </w:rPr>
      </w:pPr>
      <w:r>
        <w:rPr>
          <w:rFonts w:hint="eastAsia" w:ascii="宋体" w:hAnsi="宋体"/>
          <w:sz w:val="24"/>
          <w:highlight w:val="none"/>
          <w:lang w:val="en-US" w:eastAsia="zh-CN"/>
        </w:rPr>
        <w:t xml:space="preserve">3.3.1 </w:t>
      </w:r>
      <w:r>
        <w:rPr>
          <w:rFonts w:hint="eastAsia" w:ascii="宋体" w:hAnsi="宋体" w:cs="宋体"/>
          <w:color w:val="auto"/>
          <w:kern w:val="0"/>
          <w:sz w:val="24"/>
          <w:highlight w:val="none"/>
          <w:lang w:val="en-US" w:eastAsia="zh-CN"/>
        </w:rPr>
        <w:t>投标人拟派的项目负责人1人，应具有市政公用工程/建筑工程专业二级及以上注册建造师执业资格或中级工程师（市政/建筑专业）以上职称。</w:t>
      </w:r>
    </w:p>
    <w:p>
      <w:pPr>
        <w:tabs>
          <w:tab w:val="right" w:leader="dot" w:pos="9471"/>
        </w:tabs>
        <w:autoSpaceDE w:val="0"/>
        <w:autoSpaceDN w:val="0"/>
        <w:adjustRightInd w:val="0"/>
        <w:spacing w:line="360" w:lineRule="auto"/>
        <w:ind w:firstLine="480" w:firstLineChars="200"/>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3.3.2 安全员1人（其他人员配置应满足国家相关规范及现场要求），均须持有建设行政主管部门要求的执业证书。</w:t>
      </w:r>
    </w:p>
    <w:p>
      <w:pPr>
        <w:tabs>
          <w:tab w:val="right" w:leader="dot" w:pos="9471"/>
        </w:tabs>
        <w:autoSpaceDE w:val="0"/>
        <w:autoSpaceDN w:val="0"/>
        <w:adjustRightInd w:val="0"/>
        <w:spacing w:line="360" w:lineRule="auto"/>
        <w:ind w:firstLine="480" w:firstLineChars="200"/>
        <w:rPr>
          <w:rFonts w:hint="default"/>
          <w:lang w:val="en-US" w:eastAsia="zh-CN"/>
        </w:rPr>
      </w:pPr>
      <w:r>
        <w:rPr>
          <w:rFonts w:hint="eastAsia" w:ascii="宋体" w:hAnsi="宋体" w:cs="宋体"/>
          <w:color w:val="auto"/>
          <w:kern w:val="0"/>
          <w:sz w:val="24"/>
          <w:highlight w:val="none"/>
          <w:lang w:val="en-US" w:eastAsia="zh-CN"/>
        </w:rPr>
        <w:t xml:space="preserve">3.3.3 </w:t>
      </w:r>
      <w:r>
        <w:rPr>
          <w:rFonts w:hint="eastAsia" w:ascii="宋体" w:hAnsi="宋体" w:cs="宋体"/>
          <w:color w:val="auto"/>
          <w:kern w:val="0"/>
          <w:sz w:val="24"/>
          <w:highlight w:val="none"/>
          <w:lang w:val="zh-CN"/>
        </w:rPr>
        <w:t>遵纪守法，廉洁奉公，勤奋工作，专业水平符合业主要求，以上人员须是投标单位正式职工，须提供所在单位为其缴纳的投标截止日期前连续6个月社保证明，月到岗率均不少于</w:t>
      </w:r>
      <w:r>
        <w:rPr>
          <w:rFonts w:hint="eastAsia" w:ascii="宋体" w:hAnsi="宋体" w:cs="宋体"/>
          <w:color w:val="auto"/>
          <w:kern w:val="0"/>
          <w:sz w:val="24"/>
          <w:highlight w:val="none"/>
          <w:lang w:val="zh-CN" w:eastAsia="zh-CN"/>
        </w:rPr>
        <w:t>当月法定工作天数。</w:t>
      </w:r>
    </w:p>
    <w:p>
      <w:pPr>
        <w:pageBreakBefore w:val="0"/>
        <w:kinsoku/>
        <w:topLinePunct w:val="0"/>
        <w:bidi w:val="0"/>
        <w:adjustRightInd w:val="0"/>
        <w:snapToGrid w:val="0"/>
        <w:spacing w:line="360" w:lineRule="auto"/>
        <w:ind w:firstLine="480" w:firstLineChars="200"/>
        <w:rPr>
          <w:rFonts w:ascii="宋体" w:hAnsi="宋体" w:cs="宋体"/>
          <w:sz w:val="24"/>
        </w:rPr>
      </w:pPr>
      <w:r>
        <w:rPr>
          <w:rFonts w:hint="eastAsia" w:ascii="宋体" w:hAnsi="宋体" w:cs="宋体"/>
          <w:sz w:val="24"/>
          <w:lang w:val="en-US" w:eastAsia="zh-CN"/>
        </w:rPr>
        <w:t>3</w:t>
      </w:r>
      <w:r>
        <w:rPr>
          <w:rFonts w:ascii="宋体" w:hAnsi="宋体" w:cs="宋体"/>
          <w:sz w:val="24"/>
        </w:rPr>
        <w:t>.</w:t>
      </w:r>
      <w:r>
        <w:rPr>
          <w:rFonts w:hint="eastAsia" w:ascii="宋体" w:hAnsi="宋体" w:cs="宋体"/>
          <w:sz w:val="24"/>
          <w:lang w:val="en-US" w:eastAsia="zh-CN"/>
        </w:rPr>
        <w:t>4</w:t>
      </w:r>
      <w:r>
        <w:rPr>
          <w:rFonts w:hint="eastAsia" w:ascii="宋体" w:hAnsi="宋体" w:cs="宋体"/>
          <w:sz w:val="24"/>
        </w:rPr>
        <w:t>信誉要求：投标人在信用中国（http://www.creditchina.gov.cn）平台上无失信记录，没有因骗取中标或者严重违约以及发生重大工程质量、安全生产事故等问题，被有关部门暂停投标资格并在暂停期内的不良记录。</w:t>
      </w:r>
    </w:p>
    <w:p>
      <w:pPr>
        <w:pageBreakBefore w:val="0"/>
        <w:tabs>
          <w:tab w:val="right" w:leader="dot" w:pos="9471"/>
        </w:tabs>
        <w:kinsoku/>
        <w:topLinePunct w:val="0"/>
        <w:bidi w:val="0"/>
        <w:spacing w:line="360" w:lineRule="auto"/>
        <w:ind w:firstLine="480" w:firstLineChars="200"/>
        <w:jc w:val="left"/>
        <w:rPr>
          <w:rFonts w:hint="eastAsia" w:ascii="宋体" w:hAnsi="宋体" w:cs="宋体"/>
          <w:color w:val="auto"/>
          <w:sz w:val="24"/>
          <w:highlight w:val="none"/>
        </w:rPr>
      </w:pPr>
      <w:r>
        <w:rPr>
          <w:rFonts w:hint="eastAsia" w:ascii="宋体" w:hAnsi="宋体" w:cs="宋体"/>
          <w:sz w:val="24"/>
          <w:lang w:val="en-US" w:eastAsia="zh-CN"/>
        </w:rPr>
        <w:t>3</w:t>
      </w: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财务要求：</w:t>
      </w:r>
      <w:r>
        <w:rPr>
          <w:rFonts w:hint="eastAsia" w:ascii="宋体" w:hAnsi="宋体" w:cs="宋体"/>
          <w:color w:val="auto"/>
          <w:sz w:val="24"/>
          <w:highlight w:val="none"/>
        </w:rPr>
        <w:t>财务状况良好，近3年平均无亏损，有足够的资金能力来承担本项目的实施【</w:t>
      </w:r>
      <w:r>
        <w:rPr>
          <w:rFonts w:ascii="宋体" w:hAnsi="宋体" w:eastAsia="宋体" w:cs="宋体"/>
          <w:sz w:val="24"/>
          <w:szCs w:val="24"/>
          <w:highlight w:val="none"/>
        </w:rPr>
        <w:t>投标人需提供经过会计师事务所审计签章且签字后的财务报表</w:t>
      </w:r>
      <w:r>
        <w:rPr>
          <w:rFonts w:hint="eastAsia" w:ascii="宋体" w:hAnsi="宋体" w:cs="宋体"/>
          <w:color w:val="auto"/>
          <w:sz w:val="24"/>
          <w:highlight w:val="none"/>
        </w:rPr>
        <w:t>】。</w:t>
      </w:r>
    </w:p>
    <w:p>
      <w:pPr>
        <w:spacing w:line="460" w:lineRule="exact"/>
        <w:ind w:right="6" w:firstLine="480" w:firstLineChars="200"/>
        <w:jc w:val="left"/>
        <w:rPr>
          <w:rFonts w:ascii="宋体" w:hAnsi="宋体"/>
          <w:sz w:val="24"/>
          <w:highlight w:val="none"/>
        </w:rPr>
      </w:pPr>
      <w:r>
        <w:rPr>
          <w:rFonts w:hint="eastAsia" w:ascii="宋体" w:hAnsi="宋体" w:cs="宋体"/>
          <w:sz w:val="24"/>
          <w:lang w:val="en-US" w:eastAsia="zh-CN"/>
        </w:rPr>
        <w:t>3</w:t>
      </w: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业绩要求：</w:t>
      </w:r>
      <w:r>
        <w:rPr>
          <w:rFonts w:hint="eastAsia" w:ascii="宋体" w:hAnsi="宋体"/>
          <w:sz w:val="24"/>
          <w:highlight w:val="none"/>
          <w:lang w:val="en-US" w:eastAsia="zh-CN"/>
        </w:rPr>
        <w:t>2021年1月1日起至今</w:t>
      </w:r>
      <w:r>
        <w:rPr>
          <w:rFonts w:hint="eastAsia" w:ascii="宋体" w:hAnsi="宋体" w:cs="宋体"/>
          <w:color w:val="auto"/>
          <w:kern w:val="0"/>
          <w:sz w:val="24"/>
          <w:highlight w:val="none"/>
          <w:lang w:val="zh-CN"/>
        </w:rPr>
        <w:t>承</w:t>
      </w:r>
      <w:r>
        <w:rPr>
          <w:rFonts w:hint="eastAsia" w:ascii="宋体" w:hAnsi="宋体" w:cs="宋体"/>
          <w:color w:val="auto"/>
          <w:kern w:val="0"/>
          <w:sz w:val="24"/>
          <w:highlight w:val="none"/>
          <w:lang w:val="en-US" w:eastAsia="zh-CN"/>
        </w:rPr>
        <w:t>担</w:t>
      </w:r>
      <w:r>
        <w:rPr>
          <w:rFonts w:hint="eastAsia" w:ascii="宋体" w:hAnsi="宋体" w:cs="宋体"/>
          <w:color w:val="auto"/>
          <w:kern w:val="0"/>
          <w:sz w:val="24"/>
          <w:highlight w:val="none"/>
          <w:lang w:val="zh-CN"/>
        </w:rPr>
        <w:t>过</w:t>
      </w:r>
      <w:r>
        <w:rPr>
          <w:rFonts w:hint="eastAsia" w:ascii="宋体" w:hAnsi="宋体" w:cs="宋体"/>
          <w:color w:val="auto"/>
          <w:kern w:val="0"/>
          <w:sz w:val="24"/>
          <w:highlight w:val="none"/>
          <w:lang w:val="en-US" w:eastAsia="zh-CN"/>
        </w:rPr>
        <w:t>至少1个类似项目</w:t>
      </w:r>
      <w:r>
        <w:rPr>
          <w:rFonts w:hint="eastAsia" w:ascii="宋体" w:hAnsi="宋体" w:eastAsia="宋体" w:cs="宋体"/>
          <w:bCs/>
          <w:sz w:val="24"/>
          <w:highlight w:val="none"/>
        </w:rPr>
        <w:t>业绩</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单个合同金额500万以上的市政管道工程</w:t>
      </w:r>
      <w:r>
        <w:rPr>
          <w:rFonts w:hint="eastAsia" w:ascii="宋体" w:hAnsi="宋体" w:eastAsia="宋体" w:cs="宋体"/>
          <w:bCs/>
          <w:sz w:val="24"/>
          <w:highlight w:val="none"/>
          <w:lang w:eastAsia="zh-CN"/>
        </w:rPr>
        <w:t>）</w:t>
      </w:r>
      <w:r>
        <w:rPr>
          <w:rFonts w:hint="eastAsia" w:ascii="宋体" w:hAnsi="宋体"/>
          <w:sz w:val="24"/>
          <w:highlight w:val="none"/>
        </w:rPr>
        <w:t>。</w:t>
      </w:r>
    </w:p>
    <w:p>
      <w:pPr>
        <w:pageBreakBefore w:val="0"/>
        <w:tabs>
          <w:tab w:val="right" w:leader="dot" w:pos="9471"/>
        </w:tabs>
        <w:kinsoku/>
        <w:topLinePunct w:val="0"/>
        <w:bidi w:val="0"/>
        <w:spacing w:line="360" w:lineRule="auto"/>
        <w:ind w:firstLine="480" w:firstLineChars="200"/>
        <w:jc w:val="left"/>
        <w:rPr>
          <w:rFonts w:hint="default" w:ascii="宋体" w:hAnsi="宋体" w:eastAsia="宋体" w:cs="宋体"/>
          <w:sz w:val="24"/>
          <w:lang w:val="en-US" w:eastAsia="zh-CN"/>
        </w:rPr>
      </w:pPr>
      <w:r>
        <w:rPr>
          <w:rFonts w:hint="eastAsia" w:ascii="宋体" w:hAnsi="宋体" w:cs="宋体"/>
          <w:sz w:val="24"/>
          <w:lang w:val="en-US" w:eastAsia="zh-CN"/>
        </w:rPr>
        <w:t>3</w:t>
      </w: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highlight w:val="none"/>
        </w:rPr>
        <w:t>投标人须符合《资格预审必要合格条件标准》（见附件一）。</w:t>
      </w:r>
      <w:bookmarkStart w:id="1" w:name="_Toc31108"/>
    </w:p>
    <w:p>
      <w:pPr>
        <w:pageBreakBefore w:val="0"/>
        <w:kinsoku/>
        <w:topLinePunct w:val="0"/>
        <w:bidi w:val="0"/>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五、确定潜在投标人的方法</w:t>
      </w:r>
    </w:p>
    <w:p>
      <w:pPr>
        <w:pageBreakBefore w:val="0"/>
        <w:kinsoku/>
        <w:topLinePunct w:val="0"/>
        <w:bidi w:val="0"/>
        <w:adjustRightInd w:val="0"/>
        <w:snapToGrid w:val="0"/>
        <w:spacing w:line="360" w:lineRule="auto"/>
        <w:ind w:firstLine="480" w:firstLineChars="200"/>
        <w:rPr>
          <w:rFonts w:ascii="宋体" w:hAnsi="宋体" w:cs="宋体"/>
          <w:sz w:val="24"/>
        </w:rPr>
      </w:pPr>
      <w:r>
        <w:rPr>
          <w:rFonts w:hint="eastAsia" w:ascii="宋体" w:hAnsi="宋体" w:cs="宋体"/>
          <w:sz w:val="24"/>
        </w:rPr>
        <w:t>本项目资格预审采用合格制。投标人递交的资格预审文件（包括必要时的约谈或考察）经审查均合格的，入围正式投标</w:t>
      </w:r>
      <w:r>
        <w:rPr>
          <w:rFonts w:hint="eastAsia" w:ascii="宋体" w:hAnsi="宋体" w:cs="宋体"/>
          <w:b/>
          <w:bCs/>
          <w:sz w:val="24"/>
        </w:rPr>
        <w:t>。</w:t>
      </w:r>
    </w:p>
    <w:p>
      <w:pPr>
        <w:pageBreakBefore w:val="0"/>
        <w:kinsoku/>
        <w:topLinePunct w:val="0"/>
        <w:bidi w:val="0"/>
        <w:adjustRightInd w:val="0"/>
        <w:snapToGrid w:val="0"/>
        <w:spacing w:line="360" w:lineRule="auto"/>
        <w:ind w:firstLine="482" w:firstLineChars="200"/>
        <w:rPr>
          <w:rFonts w:ascii="宋体" w:hAnsi="宋体" w:cs="宋体"/>
          <w:b/>
          <w:bCs/>
          <w:sz w:val="24"/>
        </w:rPr>
      </w:pPr>
      <w:r>
        <w:rPr>
          <w:rFonts w:hint="eastAsia" w:ascii="宋体" w:hAnsi="宋体" w:cs="宋体"/>
          <w:b/>
          <w:bCs/>
          <w:sz w:val="24"/>
        </w:rPr>
        <w:t>六、资格预审文件的递交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topLinePunct w:val="0"/>
        <w:bidi w:val="0"/>
        <w:spacing w:before="0" w:beforeAutospacing="0" w:after="0" w:afterAutospacing="0" w:line="360" w:lineRule="auto"/>
        <w:ind w:left="0" w:right="0" w:firstLine="444"/>
        <w:rPr>
          <w:rFonts w:hint="eastAsia" w:ascii="宋体" w:hAnsi="宋体" w:eastAsia="宋体" w:cs="宋体"/>
          <w:kern w:val="2"/>
          <w:sz w:val="24"/>
          <w:szCs w:val="24"/>
          <w:lang w:val="en-US" w:eastAsia="zh-CN" w:bidi="ar-SA"/>
        </w:rPr>
      </w:pPr>
      <w:r>
        <w:rPr>
          <w:rFonts w:ascii="宋体" w:hAnsi="宋体" w:cs="宋体"/>
          <w:sz w:val="24"/>
        </w:rPr>
        <w:t>6.1</w:t>
      </w:r>
      <w:r>
        <w:rPr>
          <w:rFonts w:hint="eastAsia" w:ascii="宋体" w:hAnsi="宋体" w:cs="宋体"/>
          <w:sz w:val="24"/>
        </w:rPr>
        <w:t>有意向且符合上述条件的投</w:t>
      </w:r>
      <w:r>
        <w:rPr>
          <w:rFonts w:hint="eastAsia" w:ascii="宋体" w:hAnsi="宋体" w:cs="宋体"/>
          <w:sz w:val="24"/>
          <w:highlight w:val="none"/>
        </w:rPr>
        <w:t>标人，请于202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cs="宋体"/>
          <w:sz w:val="24"/>
          <w:highlight w:val="none"/>
          <w:lang w:val="en-US" w:eastAsia="zh-CN"/>
        </w:rPr>
        <w:t>8</w:t>
      </w:r>
      <w:r>
        <w:rPr>
          <w:rFonts w:hint="eastAsia" w:ascii="宋体" w:hAnsi="宋体" w:cs="宋体"/>
          <w:sz w:val="24"/>
          <w:highlight w:val="none"/>
        </w:rPr>
        <w:t>月</w:t>
      </w:r>
      <w:r>
        <w:rPr>
          <w:rFonts w:hint="eastAsia" w:cs="宋体"/>
          <w:sz w:val="24"/>
          <w:highlight w:val="none"/>
          <w:lang w:val="en-US" w:eastAsia="zh-CN"/>
        </w:rPr>
        <w:t>21</w:t>
      </w:r>
      <w:r>
        <w:rPr>
          <w:rFonts w:hint="eastAsia" w:ascii="宋体" w:hAnsi="宋体" w:cs="宋体"/>
          <w:sz w:val="24"/>
          <w:highlight w:val="none"/>
        </w:rPr>
        <w:t>日</w:t>
      </w:r>
      <w:r>
        <w:rPr>
          <w:rFonts w:hint="eastAsia" w:cs="宋体"/>
          <w:sz w:val="24"/>
          <w:highlight w:val="none"/>
          <w:lang w:val="en-US" w:eastAsia="zh-CN"/>
        </w:rPr>
        <w:t>8</w:t>
      </w:r>
      <w:r>
        <w:rPr>
          <w:rFonts w:hint="eastAsia" w:ascii="宋体" w:hAnsi="宋体" w:cs="宋体"/>
          <w:sz w:val="24"/>
          <w:highlight w:val="none"/>
        </w:rPr>
        <w:t>:</w:t>
      </w:r>
      <w:r>
        <w:rPr>
          <w:rFonts w:hint="eastAsia" w:cs="宋体"/>
          <w:sz w:val="24"/>
          <w:highlight w:val="none"/>
          <w:lang w:val="en-US" w:eastAsia="zh-CN"/>
        </w:rPr>
        <w:t>3</w:t>
      </w:r>
      <w:r>
        <w:rPr>
          <w:rFonts w:hint="eastAsia" w:ascii="宋体" w:hAnsi="宋体" w:cs="宋体"/>
          <w:sz w:val="24"/>
          <w:highlight w:val="none"/>
        </w:rPr>
        <w:t>0前</w:t>
      </w:r>
      <w:r>
        <w:rPr>
          <w:rFonts w:hint="eastAsia" w:ascii="宋体" w:hAnsi="宋体" w:eastAsia="宋体" w:cs="宋体"/>
          <w:kern w:val="2"/>
          <w:sz w:val="24"/>
          <w:szCs w:val="24"/>
          <w:highlight w:val="none"/>
          <w:lang w:val="en-US" w:eastAsia="zh-CN" w:bidi="ar-SA"/>
        </w:rPr>
        <w:t>，登陆</w:t>
      </w:r>
      <w:r>
        <w:rPr>
          <w:rFonts w:hint="eastAsia" w:ascii="宋体" w:hAnsi="宋体" w:eastAsia="宋体" w:cs="宋体"/>
          <w:kern w:val="2"/>
          <w:sz w:val="24"/>
          <w:szCs w:val="24"/>
          <w:lang w:val="en-US" w:eastAsia="zh-CN" w:bidi="ar-SA"/>
        </w:rPr>
        <w:t>舍得酒业招采数字化平台(网址： https://ssrm.shede.com.cn），点击页面顶部“一链网”参与项目报名, 并按照“附件二投标预审资料提交模板”的要求提供资格预审盖章扫描文件及可编辑word版本。</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topLinePunct w:val="0"/>
        <w:bidi w:val="0"/>
        <w:spacing w:before="0" w:beforeAutospacing="0" w:after="0" w:afterAutospacing="0" w:line="360" w:lineRule="auto"/>
        <w:ind w:left="0" w:right="0" w:firstLine="444"/>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6.2未按照上述要求进行报名的均视为报名无效，报名截止后通过资格预审的投标人可获取招标文件并参加投标。</w:t>
      </w:r>
    </w:p>
    <w:bookmarkEnd w:id="1"/>
    <w:p>
      <w:pPr>
        <w:pageBreakBefore w:val="0"/>
        <w:kinsoku/>
        <w:topLinePunct w:val="0"/>
        <w:bidi w:val="0"/>
        <w:spacing w:line="360" w:lineRule="auto"/>
        <w:ind w:firstLine="482" w:firstLineChars="200"/>
        <w:rPr>
          <w:rFonts w:hint="eastAsia" w:ascii="宋体" w:hAnsi="宋体"/>
          <w:b/>
          <w:sz w:val="24"/>
        </w:rPr>
      </w:pPr>
      <w:r>
        <w:rPr>
          <w:rFonts w:hint="eastAsia" w:ascii="宋体" w:hAnsi="宋体"/>
          <w:b/>
          <w:sz w:val="24"/>
        </w:rPr>
        <w:t>七、投标保证金</w:t>
      </w:r>
    </w:p>
    <w:p>
      <w:pPr>
        <w:spacing w:line="460" w:lineRule="exact"/>
        <w:ind w:right="6" w:firstLine="480" w:firstLineChars="200"/>
        <w:jc w:val="left"/>
        <w:rPr>
          <w:rFonts w:hint="eastAsia" w:ascii="Times New Roman" w:hAnsi="Times New Roman" w:cs="Times New Roman"/>
          <w:b/>
          <w:bCs/>
          <w:caps w:val="0"/>
          <w:snapToGrid w:val="0"/>
          <w:color w:val="FF0000"/>
          <w:sz w:val="24"/>
          <w:highlight w:val="none"/>
          <w:lang w:val="en-US" w:eastAsia="zh-CN"/>
        </w:rPr>
      </w:pPr>
      <w:r>
        <w:rPr>
          <w:rFonts w:ascii="宋体" w:hAnsi="宋体" w:cs="宋体"/>
          <w:sz w:val="24"/>
        </w:rPr>
        <w:t>7</w:t>
      </w:r>
      <w:r>
        <w:rPr>
          <w:rFonts w:hint="eastAsia" w:ascii="宋体" w:hAnsi="宋体" w:cs="宋体"/>
          <w:sz w:val="24"/>
        </w:rPr>
        <w:t>.1 投标保证金缴纳：</w:t>
      </w:r>
      <w:r>
        <w:rPr>
          <w:rFonts w:hint="eastAsia" w:ascii="宋体" w:hAnsi="宋体" w:cs="宋体"/>
          <w:sz w:val="24"/>
          <w:highlight w:val="none"/>
        </w:rPr>
        <w:t>人民币</w:t>
      </w:r>
      <w:r>
        <w:rPr>
          <w:rFonts w:hint="eastAsia" w:ascii="宋体" w:hAnsi="宋体" w:cs="宋体"/>
          <w:sz w:val="24"/>
          <w:highlight w:val="none"/>
          <w:lang w:val="en-US" w:eastAsia="zh-CN"/>
        </w:rPr>
        <w:t>贰</w:t>
      </w:r>
      <w:r>
        <w:rPr>
          <w:rFonts w:hint="eastAsia" w:ascii="宋体" w:hAnsi="宋体" w:cs="宋体"/>
          <w:sz w:val="24"/>
          <w:highlight w:val="none"/>
        </w:rPr>
        <w:t>拾万元(¥</w:t>
      </w:r>
      <w:r>
        <w:rPr>
          <w:rFonts w:hint="eastAsia" w:ascii="宋体" w:hAnsi="宋体" w:cs="宋体"/>
          <w:sz w:val="24"/>
          <w:highlight w:val="none"/>
          <w:lang w:val="en-US" w:eastAsia="zh-CN"/>
        </w:rPr>
        <w:t>2</w:t>
      </w:r>
      <w:r>
        <w:rPr>
          <w:rFonts w:hint="eastAsia" w:ascii="宋体" w:hAnsi="宋体" w:cs="宋体"/>
          <w:sz w:val="24"/>
          <w:highlight w:val="none"/>
        </w:rPr>
        <w:t>00</w:t>
      </w:r>
      <w:r>
        <w:rPr>
          <w:rFonts w:ascii="宋体" w:hAnsi="宋体" w:cs="宋体"/>
          <w:sz w:val="24"/>
          <w:highlight w:val="none"/>
        </w:rPr>
        <w:t>,</w:t>
      </w:r>
      <w:r>
        <w:rPr>
          <w:rFonts w:hint="eastAsia" w:ascii="宋体" w:hAnsi="宋体" w:cs="宋体"/>
          <w:sz w:val="24"/>
          <w:highlight w:val="none"/>
        </w:rPr>
        <w:t>000.00元)整；</w:t>
      </w:r>
      <w:r>
        <w:rPr>
          <w:rFonts w:hint="eastAsia" w:ascii="Times New Roman" w:hAnsi="Times New Roman" w:eastAsia="宋体" w:cs="Times New Roman"/>
          <w:b/>
          <w:bCs/>
          <w:caps w:val="0"/>
          <w:snapToGrid w:val="0"/>
          <w:color w:val="FF0000"/>
          <w:sz w:val="24"/>
          <w:highlight w:val="none"/>
        </w:rPr>
        <w:t>投标人在收到招标文件且确认参标后，</w:t>
      </w:r>
      <w:r>
        <w:rPr>
          <w:rFonts w:hint="eastAsia" w:ascii="Times New Roman" w:hAnsi="Times New Roman" w:cs="Times New Roman"/>
          <w:b/>
          <w:bCs/>
          <w:caps w:val="0"/>
          <w:snapToGrid w:val="0"/>
          <w:color w:val="FF0000"/>
          <w:sz w:val="24"/>
          <w:highlight w:val="none"/>
          <w:lang w:val="en-US" w:eastAsia="zh-CN"/>
        </w:rPr>
        <w:t>于</w:t>
      </w:r>
      <w:r>
        <w:rPr>
          <w:rFonts w:hint="eastAsia" w:ascii="Times New Roman" w:hAnsi="Times New Roman" w:eastAsia="宋体" w:cs="Times New Roman"/>
          <w:b/>
          <w:bCs/>
          <w:caps w:val="0"/>
          <w:snapToGrid w:val="0"/>
          <w:color w:val="FF0000"/>
          <w:sz w:val="24"/>
          <w:highlight w:val="none"/>
        </w:rPr>
        <w:t>202</w:t>
      </w:r>
      <w:r>
        <w:rPr>
          <w:rFonts w:hint="eastAsia" w:ascii="Times New Roman" w:hAnsi="Times New Roman" w:eastAsia="宋体" w:cs="Times New Roman"/>
          <w:b/>
          <w:bCs/>
          <w:caps w:val="0"/>
          <w:snapToGrid w:val="0"/>
          <w:color w:val="FF0000"/>
          <w:sz w:val="24"/>
          <w:highlight w:val="none"/>
          <w:lang w:val="en-US" w:eastAsia="zh-CN"/>
        </w:rPr>
        <w:t>4</w:t>
      </w:r>
      <w:r>
        <w:rPr>
          <w:rFonts w:hint="eastAsia" w:ascii="Times New Roman" w:hAnsi="Times New Roman" w:eastAsia="宋体" w:cs="Times New Roman"/>
          <w:b/>
          <w:bCs/>
          <w:caps w:val="0"/>
          <w:snapToGrid w:val="0"/>
          <w:color w:val="FF0000"/>
          <w:sz w:val="24"/>
          <w:highlight w:val="none"/>
        </w:rPr>
        <w:t>年</w:t>
      </w:r>
      <w:r>
        <w:rPr>
          <w:rFonts w:hint="eastAsia" w:cs="Times New Roman"/>
          <w:b/>
          <w:bCs/>
          <w:caps w:val="0"/>
          <w:snapToGrid w:val="0"/>
          <w:color w:val="FF0000"/>
          <w:sz w:val="24"/>
          <w:highlight w:val="none"/>
          <w:lang w:val="en-US" w:eastAsia="zh-CN"/>
        </w:rPr>
        <w:t>9</w:t>
      </w:r>
      <w:r>
        <w:rPr>
          <w:rFonts w:hint="eastAsia" w:ascii="Times New Roman" w:hAnsi="Times New Roman" w:eastAsia="宋体" w:cs="Times New Roman"/>
          <w:b/>
          <w:bCs/>
          <w:caps w:val="0"/>
          <w:snapToGrid w:val="0"/>
          <w:color w:val="FF0000"/>
          <w:sz w:val="24"/>
          <w:highlight w:val="none"/>
        </w:rPr>
        <w:t>月</w:t>
      </w:r>
      <w:r>
        <w:rPr>
          <w:rFonts w:hint="eastAsia" w:cs="Times New Roman"/>
          <w:b/>
          <w:bCs/>
          <w:caps w:val="0"/>
          <w:snapToGrid w:val="0"/>
          <w:color w:val="FF0000"/>
          <w:sz w:val="24"/>
          <w:highlight w:val="none"/>
          <w:lang w:val="en-US" w:eastAsia="zh-CN"/>
        </w:rPr>
        <w:t>5</w:t>
      </w:r>
      <w:r>
        <w:rPr>
          <w:rFonts w:hint="eastAsia" w:ascii="Times New Roman" w:hAnsi="Times New Roman" w:eastAsia="宋体" w:cs="Times New Roman"/>
          <w:b/>
          <w:bCs/>
          <w:caps w:val="0"/>
          <w:snapToGrid w:val="0"/>
          <w:color w:val="FF0000"/>
          <w:sz w:val="24"/>
          <w:highlight w:val="none"/>
        </w:rPr>
        <w:t>日</w:t>
      </w:r>
      <w:r>
        <w:rPr>
          <w:rFonts w:hint="eastAsia" w:ascii="Times New Roman" w:hAnsi="Times New Roman" w:cs="Times New Roman"/>
          <w:b/>
          <w:bCs/>
          <w:caps w:val="0"/>
          <w:snapToGrid w:val="0"/>
          <w:color w:val="FF0000"/>
          <w:sz w:val="24"/>
          <w:highlight w:val="none"/>
          <w:lang w:val="en-US" w:eastAsia="zh-CN"/>
        </w:rPr>
        <w:t>16</w:t>
      </w:r>
      <w:r>
        <w:rPr>
          <w:rFonts w:hint="eastAsia" w:ascii="Times New Roman" w:hAnsi="Times New Roman" w:eastAsia="宋体" w:cs="Times New Roman"/>
          <w:b/>
          <w:bCs/>
          <w:caps w:val="0"/>
          <w:snapToGrid w:val="0"/>
          <w:color w:val="FF0000"/>
          <w:sz w:val="24"/>
          <w:highlight w:val="none"/>
        </w:rPr>
        <w:t>:</w:t>
      </w:r>
      <w:r>
        <w:rPr>
          <w:rFonts w:hint="eastAsia" w:ascii="Times New Roman" w:hAnsi="Times New Roman" w:eastAsia="宋体" w:cs="Times New Roman"/>
          <w:b/>
          <w:bCs/>
          <w:caps w:val="0"/>
          <w:snapToGrid w:val="0"/>
          <w:color w:val="FF0000"/>
          <w:sz w:val="24"/>
          <w:highlight w:val="none"/>
          <w:lang w:val="en-US" w:eastAsia="zh-CN"/>
        </w:rPr>
        <w:t>0</w:t>
      </w:r>
      <w:r>
        <w:rPr>
          <w:rFonts w:hint="eastAsia" w:ascii="Times New Roman" w:hAnsi="Times New Roman" w:eastAsia="宋体" w:cs="Times New Roman"/>
          <w:b/>
          <w:bCs/>
          <w:caps w:val="0"/>
          <w:snapToGrid w:val="0"/>
          <w:color w:val="FF0000"/>
          <w:sz w:val="24"/>
          <w:highlight w:val="none"/>
        </w:rPr>
        <w:t>0前（北京时间；请各投标人自行考虑资金在途时间）缴纳至指定银行账户</w:t>
      </w:r>
      <w:r>
        <w:rPr>
          <w:rFonts w:hint="eastAsia" w:ascii="Times New Roman" w:hAnsi="Times New Roman" w:eastAsia="宋体" w:cs="Times New Roman"/>
          <w:b/>
          <w:bCs/>
          <w:caps w:val="0"/>
          <w:snapToGrid w:val="0"/>
          <w:color w:val="FF0000"/>
          <w:sz w:val="24"/>
          <w:highlight w:val="none"/>
          <w:lang w:eastAsia="zh-CN"/>
        </w:rPr>
        <w:t>，</w:t>
      </w:r>
      <w:r>
        <w:rPr>
          <w:rFonts w:hint="eastAsia" w:ascii="Times New Roman" w:hAnsi="Times New Roman" w:eastAsia="宋体" w:cs="Times New Roman"/>
          <w:b/>
          <w:bCs/>
          <w:caps w:val="0"/>
          <w:snapToGrid w:val="0"/>
          <w:color w:val="FF0000"/>
          <w:sz w:val="24"/>
          <w:highlight w:val="none"/>
          <w:lang w:val="en-US" w:eastAsia="zh-CN"/>
        </w:rPr>
        <w:t>并将转款凭证在</w:t>
      </w:r>
      <w:r>
        <w:rPr>
          <w:rFonts w:hint="eastAsia" w:cs="Times New Roman"/>
          <w:b/>
          <w:bCs/>
          <w:caps w:val="0"/>
          <w:snapToGrid w:val="0"/>
          <w:color w:val="FF0000"/>
          <w:sz w:val="24"/>
          <w:highlight w:val="none"/>
          <w:lang w:val="en-US" w:eastAsia="zh-CN"/>
        </w:rPr>
        <w:t>9</w:t>
      </w:r>
      <w:r>
        <w:rPr>
          <w:rFonts w:hint="eastAsia" w:ascii="Times New Roman" w:hAnsi="Times New Roman" w:eastAsia="宋体" w:cs="Times New Roman"/>
          <w:b/>
          <w:bCs/>
          <w:caps w:val="0"/>
          <w:snapToGrid w:val="0"/>
          <w:color w:val="FF0000"/>
          <w:sz w:val="24"/>
          <w:highlight w:val="none"/>
          <w:lang w:val="en-US" w:eastAsia="zh-CN"/>
        </w:rPr>
        <w:t>月</w:t>
      </w:r>
      <w:r>
        <w:rPr>
          <w:rFonts w:hint="eastAsia" w:cs="Times New Roman"/>
          <w:b/>
          <w:bCs/>
          <w:caps w:val="0"/>
          <w:snapToGrid w:val="0"/>
          <w:color w:val="FF0000"/>
          <w:sz w:val="24"/>
          <w:highlight w:val="none"/>
          <w:lang w:val="en-US" w:eastAsia="zh-CN"/>
        </w:rPr>
        <w:t>5</w:t>
      </w:r>
      <w:r>
        <w:rPr>
          <w:rFonts w:hint="eastAsia" w:ascii="Times New Roman" w:hAnsi="Times New Roman" w:eastAsia="宋体" w:cs="Times New Roman"/>
          <w:b/>
          <w:bCs/>
          <w:caps w:val="0"/>
          <w:snapToGrid w:val="0"/>
          <w:color w:val="FF0000"/>
          <w:sz w:val="24"/>
          <w:highlight w:val="none"/>
          <w:lang w:val="en-US" w:eastAsia="zh-CN"/>
        </w:rPr>
        <w:t>日</w:t>
      </w:r>
      <w:r>
        <w:rPr>
          <w:rFonts w:hint="eastAsia" w:ascii="Times New Roman" w:hAnsi="Times New Roman" w:cs="Times New Roman"/>
          <w:b/>
          <w:bCs/>
          <w:caps w:val="0"/>
          <w:snapToGrid w:val="0"/>
          <w:color w:val="FF0000"/>
          <w:sz w:val="24"/>
          <w:highlight w:val="none"/>
          <w:lang w:val="en-US" w:eastAsia="zh-CN"/>
        </w:rPr>
        <w:t>16</w:t>
      </w:r>
      <w:r>
        <w:rPr>
          <w:rFonts w:hint="eastAsia" w:ascii="Times New Roman" w:hAnsi="Times New Roman" w:eastAsia="宋体" w:cs="Times New Roman"/>
          <w:b/>
          <w:bCs/>
          <w:caps w:val="0"/>
          <w:snapToGrid w:val="0"/>
          <w:color w:val="FF0000"/>
          <w:sz w:val="24"/>
          <w:highlight w:val="none"/>
          <w:lang w:val="en-US" w:eastAsia="zh-CN"/>
        </w:rPr>
        <w:t>点前上传至“一链网”相应节点</w:t>
      </w:r>
      <w:r>
        <w:rPr>
          <w:rFonts w:hint="eastAsia" w:ascii="Times New Roman" w:hAnsi="Times New Roman" w:eastAsia="宋体" w:cs="Times New Roman"/>
          <w:b/>
          <w:bCs/>
          <w:caps w:val="0"/>
          <w:snapToGrid w:val="0"/>
          <w:color w:val="FF0000"/>
          <w:sz w:val="24"/>
          <w:highlight w:val="none"/>
        </w:rPr>
        <w:t>。投标人转账时请在转账凭证用途栏上注明</w:t>
      </w:r>
      <w:r>
        <w:rPr>
          <w:rFonts w:hint="eastAsia" w:ascii="Times New Roman" w:hAnsi="Times New Roman" w:cs="Times New Roman"/>
          <w:b/>
          <w:bCs/>
          <w:caps w:val="0"/>
          <w:snapToGrid w:val="0"/>
          <w:color w:val="FF0000"/>
          <w:sz w:val="24"/>
          <w:highlight w:val="none"/>
          <w:lang w:val="en-US" w:eastAsia="zh-CN"/>
        </w:rPr>
        <w:t>ZC2-025。（保证金缴纳时间暂定）</w:t>
      </w:r>
    </w:p>
    <w:p>
      <w:pPr>
        <w:pStyle w:val="7"/>
        <w:pageBreakBefore w:val="0"/>
        <w:shd w:val="clear" w:color="auto" w:fill="FFFFFF"/>
        <w:kinsoku/>
        <w:topLinePunct w:val="0"/>
        <w:bidi w:val="0"/>
        <w:spacing w:before="0" w:beforeAutospacing="0" w:after="0" w:afterAutospacing="0" w:line="360" w:lineRule="auto"/>
        <w:ind w:firstLine="480" w:firstLineChars="200"/>
        <w:jc w:val="both"/>
        <w:rPr>
          <w:rFonts w:hint="eastAsia" w:cs="宋体"/>
          <w:kern w:val="2"/>
          <w:szCs w:val="24"/>
        </w:rPr>
      </w:pPr>
      <w:r>
        <w:rPr>
          <w:rFonts w:hint="eastAsia" w:cs="宋体"/>
          <w:kern w:val="2"/>
          <w:szCs w:val="24"/>
        </w:rPr>
        <w:t>7.2投标保证金交纳账户信息如下：</w:t>
      </w:r>
    </w:p>
    <w:p>
      <w:pPr>
        <w:pStyle w:val="7"/>
        <w:pageBreakBefore w:val="0"/>
        <w:shd w:val="clear" w:color="auto" w:fill="FFFFFF"/>
        <w:kinsoku/>
        <w:topLinePunct w:val="0"/>
        <w:bidi w:val="0"/>
        <w:spacing w:before="0" w:beforeAutospacing="0" w:after="0" w:afterAutospacing="0" w:line="360" w:lineRule="auto"/>
        <w:ind w:firstLine="480"/>
        <w:jc w:val="both"/>
        <w:rPr>
          <w:rFonts w:hint="eastAsia" w:cs="宋体"/>
          <w:kern w:val="2"/>
          <w:szCs w:val="24"/>
        </w:rPr>
      </w:pPr>
      <w:r>
        <w:rPr>
          <w:rFonts w:hint="eastAsia" w:cs="宋体"/>
          <w:kern w:val="2"/>
          <w:szCs w:val="24"/>
        </w:rPr>
        <w:t>开户单位：舍得酒业股份有限公司</w:t>
      </w:r>
    </w:p>
    <w:p>
      <w:pPr>
        <w:pStyle w:val="7"/>
        <w:pageBreakBefore w:val="0"/>
        <w:shd w:val="clear" w:color="auto" w:fill="FFFFFF"/>
        <w:kinsoku/>
        <w:topLinePunct w:val="0"/>
        <w:bidi w:val="0"/>
        <w:spacing w:before="0" w:beforeAutospacing="0" w:after="0" w:afterAutospacing="0" w:line="360" w:lineRule="auto"/>
        <w:ind w:firstLine="480"/>
        <w:jc w:val="both"/>
        <w:rPr>
          <w:rFonts w:hint="eastAsia" w:cs="宋体"/>
          <w:kern w:val="2"/>
          <w:szCs w:val="24"/>
        </w:rPr>
      </w:pPr>
      <w:r>
        <w:rPr>
          <w:rFonts w:hint="eastAsia" w:cs="宋体"/>
          <w:kern w:val="2"/>
          <w:szCs w:val="24"/>
        </w:rPr>
        <w:t>开户银行：中国工商银行射洪支行</w:t>
      </w:r>
    </w:p>
    <w:p>
      <w:pPr>
        <w:pStyle w:val="7"/>
        <w:pageBreakBefore w:val="0"/>
        <w:shd w:val="clear" w:color="auto" w:fill="FFFFFF"/>
        <w:kinsoku/>
        <w:topLinePunct w:val="0"/>
        <w:bidi w:val="0"/>
        <w:spacing w:before="0" w:beforeAutospacing="0" w:after="0" w:afterAutospacing="0" w:line="360" w:lineRule="auto"/>
        <w:ind w:firstLine="480"/>
        <w:jc w:val="both"/>
        <w:rPr>
          <w:rFonts w:hint="eastAsia" w:cs="宋体"/>
          <w:kern w:val="2"/>
          <w:szCs w:val="24"/>
        </w:rPr>
      </w:pPr>
      <w:r>
        <w:rPr>
          <w:rFonts w:hint="eastAsia" w:cs="宋体"/>
          <w:kern w:val="2"/>
          <w:szCs w:val="24"/>
        </w:rPr>
        <w:t>银行帐号：2310 4641 0902 2509 624</w:t>
      </w:r>
    </w:p>
    <w:p>
      <w:pPr>
        <w:pageBreakBefore w:val="0"/>
        <w:kinsoku/>
        <w:topLinePunct w:val="0"/>
        <w:bidi w:val="0"/>
        <w:adjustRightInd w:val="0"/>
        <w:snapToGrid w:val="0"/>
        <w:spacing w:line="360" w:lineRule="auto"/>
        <w:ind w:firstLine="420" w:firstLineChars="200"/>
        <w:rPr>
          <w:rFonts w:hint="eastAsia" w:cs="宋体"/>
        </w:rPr>
      </w:pPr>
      <w:r>
        <w:rPr>
          <w:rFonts w:hint="eastAsia" w:cs="宋体"/>
        </w:rPr>
        <w:t>7.3</w:t>
      </w:r>
      <w:r>
        <w:rPr>
          <w:rFonts w:hint="eastAsia" w:ascii="宋体" w:hAnsi="宋体" w:cs="宋体"/>
          <w:sz w:val="24"/>
        </w:rPr>
        <w:t>保证金退还：</w:t>
      </w:r>
    </w:p>
    <w:p>
      <w:pPr>
        <w:pageBreakBefore w:val="0"/>
        <w:kinsoku/>
        <w:topLinePunct w:val="0"/>
        <w:bidi w:val="0"/>
        <w:adjustRightInd w:val="0"/>
        <w:snapToGrid w:val="0"/>
        <w:spacing w:line="360" w:lineRule="auto"/>
        <w:ind w:firstLine="480" w:firstLineChars="200"/>
        <w:rPr>
          <w:rFonts w:hint="eastAsia" w:cs="宋体"/>
        </w:rPr>
      </w:pPr>
      <w:r>
        <w:rPr>
          <w:rFonts w:hint="eastAsia" w:ascii="宋体" w:hAnsi="宋体" w:cs="宋体"/>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pageBreakBefore w:val="0"/>
        <w:kinsoku/>
        <w:topLinePunct w:val="0"/>
        <w:bidi w:val="0"/>
        <w:adjustRightInd w:val="0"/>
        <w:snapToGrid w:val="0"/>
        <w:spacing w:line="360" w:lineRule="auto"/>
        <w:ind w:firstLine="482" w:firstLineChars="200"/>
        <w:rPr>
          <w:b/>
          <w:sz w:val="24"/>
        </w:rPr>
      </w:pPr>
      <w:r>
        <w:rPr>
          <w:rFonts w:hint="eastAsia"/>
          <w:b/>
          <w:sz w:val="24"/>
        </w:rPr>
        <w:t xml:space="preserve">八、投标报名联系人及时间安排： </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8.1投标联系人：</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商务咨询：</w:t>
      </w:r>
      <w:r>
        <w:rPr>
          <w:rFonts w:hint="eastAsia" w:ascii="宋体" w:hAnsi="宋体" w:eastAsia="宋体" w:cs="宋体"/>
          <w:sz w:val="24"/>
          <w:lang w:val="en-US" w:eastAsia="zh-CN"/>
        </w:rPr>
        <w:t>王女士</w:t>
      </w:r>
      <w:r>
        <w:rPr>
          <w:rFonts w:hint="eastAsia" w:ascii="宋体" w:hAnsi="宋体" w:eastAsia="宋体" w:cs="宋体"/>
          <w:sz w:val="24"/>
        </w:rPr>
        <w:t xml:space="preserve"> </w:t>
      </w:r>
      <w:r>
        <w:rPr>
          <w:rFonts w:hint="eastAsia" w:ascii="宋体" w:hAnsi="宋体" w:eastAsia="宋体" w:cs="宋体"/>
          <w:sz w:val="24"/>
          <w:lang w:val="en-US" w:eastAsia="zh-CN"/>
        </w:rPr>
        <w:t>08256618711</w:t>
      </w:r>
      <w:r>
        <w:rPr>
          <w:rFonts w:hint="eastAsia" w:ascii="宋体" w:hAnsi="宋体" w:eastAsia="宋体" w:cs="宋体"/>
          <w:sz w:val="24"/>
        </w:rPr>
        <w:t xml:space="preserve"> 邮箱:  </w:t>
      </w:r>
      <w:r>
        <w:rPr>
          <w:rFonts w:ascii="宋体" w:hAnsi="宋体" w:eastAsia="宋体" w:cs="宋体"/>
          <w:sz w:val="24"/>
          <w:szCs w:val="24"/>
        </w:rPr>
        <w:t>wangweiping@tuopai.biz</w:t>
      </w:r>
      <w:r>
        <w:rPr>
          <w:rFonts w:hint="eastAsia" w:ascii="宋体" w:hAnsi="宋体" w:eastAsia="宋体" w:cs="宋体"/>
          <w:sz w:val="24"/>
        </w:rPr>
        <w:t xml:space="preserve"> </w:t>
      </w:r>
    </w:p>
    <w:p>
      <w:pPr>
        <w:pageBreakBefore w:val="0"/>
        <w:kinsoku/>
        <w:topLinePunct w:val="0"/>
        <w:bidi w:val="0"/>
        <w:adjustRightInd w:val="0"/>
        <w:snapToGrid w:val="0"/>
        <w:spacing w:line="360" w:lineRule="auto"/>
        <w:ind w:left="479" w:leftChars="228" w:firstLine="0" w:firstLineChars="0"/>
        <w:rPr>
          <w:rFonts w:ascii="宋体" w:hAnsi="宋体" w:eastAsia="宋体" w:cs="宋体"/>
          <w:sz w:val="24"/>
          <w:szCs w:val="24"/>
        </w:rPr>
      </w:pPr>
      <w:r>
        <w:rPr>
          <w:rFonts w:hint="eastAsia" w:ascii="宋体" w:hAnsi="宋体" w:eastAsia="宋体" w:cs="宋体"/>
          <w:sz w:val="24"/>
        </w:rPr>
        <w:t>8.2招标文件的获取方式</w:t>
      </w:r>
      <w:r>
        <w:rPr>
          <w:rFonts w:ascii="宋体" w:hAnsi="宋体" w:eastAsia="宋体" w:cs="宋体"/>
          <w:sz w:val="24"/>
          <w:szCs w:val="24"/>
        </w:rPr>
        <w:br w:type="textWrapping"/>
      </w:r>
      <w:r>
        <w:rPr>
          <w:rFonts w:hint="eastAsia" w:ascii="宋体" w:hAnsi="宋体" w:eastAsia="宋体" w:cs="宋体"/>
          <w:sz w:val="24"/>
          <w:lang w:val="en-US" w:eastAsia="zh-CN"/>
        </w:rPr>
        <w:t>资格预审合格后，</w:t>
      </w:r>
      <w:r>
        <w:rPr>
          <w:rFonts w:hint="eastAsia" w:ascii="宋体" w:hAnsi="宋体" w:eastAsia="宋体" w:cs="宋体"/>
          <w:sz w:val="24"/>
        </w:rPr>
        <w:t>登陆舍得酒业招采数字化平台（网址: </w:t>
      </w:r>
      <w:r>
        <w:rPr>
          <w:rFonts w:hint="eastAsia" w:ascii="宋体" w:hAnsi="宋体" w:eastAsia="宋体" w:cs="宋体"/>
          <w:sz w:val="24"/>
        </w:rPr>
        <w:fldChar w:fldCharType="begin"/>
      </w:r>
      <w:r>
        <w:rPr>
          <w:rFonts w:hint="eastAsia" w:ascii="宋体" w:hAnsi="宋体" w:eastAsia="宋体" w:cs="宋体"/>
          <w:sz w:val="24"/>
        </w:rPr>
        <w:instrText xml:space="preserve"> HYPERLINK "https://ssrm.shede.com.cn），点击页面顶部的\“一链网\”获取招标文件。" </w:instrText>
      </w:r>
      <w:r>
        <w:rPr>
          <w:rFonts w:hint="eastAsia" w:ascii="宋体" w:hAnsi="宋体" w:eastAsia="宋体" w:cs="宋体"/>
          <w:sz w:val="24"/>
        </w:rPr>
        <w:fldChar w:fldCharType="separate"/>
      </w:r>
      <w:r>
        <w:rPr>
          <w:rFonts w:hint="eastAsia" w:ascii="宋体" w:hAnsi="宋体" w:eastAsia="宋体" w:cs="宋体"/>
          <w:sz w:val="24"/>
        </w:rPr>
        <w:t>https://ssrm.shede.com.cn），点击页面顶部的“一链网”获取招标文件。</w:t>
      </w:r>
      <w:r>
        <w:rPr>
          <w:rFonts w:hint="eastAsia" w:ascii="宋体" w:hAnsi="宋体" w:eastAsia="宋体" w:cs="宋体"/>
          <w:sz w:val="24"/>
        </w:rPr>
        <w:fldChar w:fldCharType="end"/>
      </w:r>
    </w:p>
    <w:p>
      <w:pPr>
        <w:pageBreakBefore w:val="0"/>
        <w:kinsoku/>
        <w:topLinePunct w:val="0"/>
        <w:bidi w:val="0"/>
        <w:adjustRightInd w:val="0"/>
        <w:snapToGrid w:val="0"/>
        <w:spacing w:line="360" w:lineRule="auto"/>
        <w:ind w:left="479" w:leftChars="228" w:firstLine="0" w:firstLineChars="0"/>
        <w:rPr>
          <w:rFonts w:ascii="宋体" w:hAnsi="宋体" w:cs="宋体"/>
          <w:sz w:val="24"/>
          <w:highlight w:val="none"/>
        </w:rPr>
      </w:pPr>
      <w:r>
        <w:rPr>
          <w:rFonts w:ascii="宋体" w:hAnsi="宋体" w:cs="宋体"/>
          <w:sz w:val="24"/>
          <w:highlight w:val="none"/>
        </w:rPr>
        <w:t>8</w:t>
      </w:r>
      <w:r>
        <w:rPr>
          <w:rFonts w:hint="eastAsia" w:ascii="宋体" w:hAnsi="宋体" w:cs="宋体"/>
          <w:sz w:val="24"/>
          <w:highlight w:val="none"/>
        </w:rPr>
        <w:t>.3时间安排：</w:t>
      </w:r>
    </w:p>
    <w:p>
      <w:pPr>
        <w:pageBreakBefore w:val="0"/>
        <w:kinsoku/>
        <w:topLinePunct w:val="0"/>
        <w:bidi w:val="0"/>
        <w:adjustRightInd w:val="0"/>
        <w:snapToGrid w:val="0"/>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预审资料递交截止时间：202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21</w:t>
      </w:r>
      <w:r>
        <w:rPr>
          <w:rFonts w:hint="eastAsia" w:ascii="宋体" w:hAnsi="宋体" w:cs="宋体"/>
          <w:sz w:val="24"/>
          <w:highlight w:val="none"/>
        </w:rPr>
        <w:t>日</w:t>
      </w:r>
      <w:r>
        <w:rPr>
          <w:rFonts w:hint="eastAsia" w:ascii="宋体" w:hAnsi="宋体" w:cs="宋体"/>
          <w:sz w:val="24"/>
          <w:highlight w:val="none"/>
          <w:lang w:val="en-US" w:eastAsia="zh-CN"/>
        </w:rPr>
        <w:t>8：30</w:t>
      </w:r>
    </w:p>
    <w:p>
      <w:pPr>
        <w:pageBreakBefore w:val="0"/>
        <w:kinsoku/>
        <w:topLinePunct w:val="0"/>
        <w:bidi w:val="0"/>
        <w:adjustRightInd w:val="0"/>
        <w:snapToGrid w:val="0"/>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本项目预计发标时间：202</w:t>
      </w:r>
      <w:r>
        <w:rPr>
          <w:rFonts w:hint="eastAsia" w:ascii="宋体" w:hAnsi="宋体" w:cs="宋体"/>
          <w:sz w:val="24"/>
          <w:highlight w:val="none"/>
          <w:lang w:val="en-US" w:eastAsia="zh-CN"/>
        </w:rPr>
        <w:t>4</w:t>
      </w:r>
      <w:r>
        <w:rPr>
          <w:rFonts w:hint="eastAsia" w:ascii="宋体" w:hAnsi="宋体" w:cs="宋体"/>
          <w:sz w:val="24"/>
          <w:highlight w:val="none"/>
        </w:rPr>
        <w:t>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29</w:t>
      </w:r>
      <w:r>
        <w:rPr>
          <w:rFonts w:hint="eastAsia" w:ascii="宋体" w:hAnsi="宋体" w:cs="宋体"/>
          <w:sz w:val="24"/>
          <w:highlight w:val="none"/>
        </w:rPr>
        <w:t>日1</w:t>
      </w:r>
      <w:r>
        <w:rPr>
          <w:rFonts w:hint="eastAsia" w:ascii="宋体" w:hAnsi="宋体" w:cs="宋体"/>
          <w:sz w:val="24"/>
          <w:highlight w:val="none"/>
          <w:lang w:val="en-US" w:eastAsia="zh-CN"/>
        </w:rPr>
        <w:t>6</w:t>
      </w:r>
      <w:r>
        <w:rPr>
          <w:rFonts w:hint="eastAsia" w:ascii="宋体" w:hAnsi="宋体" w:cs="宋体"/>
          <w:sz w:val="24"/>
          <w:highlight w:val="none"/>
        </w:rPr>
        <w:t>:30</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暂定</w:t>
      </w:r>
      <w:r>
        <w:rPr>
          <w:rFonts w:hint="eastAsia" w:ascii="宋体" w:hAnsi="宋体" w:cs="宋体"/>
          <w:b/>
          <w:bCs/>
          <w:sz w:val="24"/>
          <w:highlight w:val="none"/>
          <w:lang w:eastAsia="zh-CN"/>
        </w:rPr>
        <w:t>）</w:t>
      </w:r>
    </w:p>
    <w:p>
      <w:pPr>
        <w:pageBreakBefore w:val="0"/>
        <w:kinsoku/>
        <w:topLinePunct w:val="0"/>
        <w:bidi w:val="0"/>
        <w:adjustRightInd w:val="0"/>
        <w:snapToGrid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rPr>
        <w:t>本项目预计回标时间：</w:t>
      </w:r>
      <w:r>
        <w:rPr>
          <w:rFonts w:hint="eastAsia" w:ascii="宋体" w:hAnsi="宋体" w:cs="宋体"/>
          <w:sz w:val="24"/>
          <w:highlight w:val="none"/>
          <w:lang w:val="en-US" w:eastAsia="zh-CN"/>
        </w:rPr>
        <w:t>以招标文件为准</w:t>
      </w:r>
    </w:p>
    <w:p>
      <w:pPr>
        <w:pageBreakBefore w:val="0"/>
        <w:kinsoku/>
        <w:topLinePunct w:val="0"/>
        <w:bidi w:val="0"/>
        <w:adjustRightInd w:val="0"/>
        <w:snapToGrid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rPr>
        <w:t>本项目预计开标时间：</w:t>
      </w:r>
      <w:r>
        <w:rPr>
          <w:rFonts w:hint="eastAsia" w:ascii="宋体" w:hAnsi="宋体" w:cs="宋体"/>
          <w:sz w:val="24"/>
          <w:highlight w:val="none"/>
          <w:lang w:val="en-US" w:eastAsia="zh-CN"/>
        </w:rPr>
        <w:t>以招标文件为准</w:t>
      </w:r>
    </w:p>
    <w:p>
      <w:pPr>
        <w:pageBreakBefore w:val="0"/>
        <w:kinsoku/>
        <w:topLinePunct w:val="0"/>
        <w:bidi w:val="0"/>
        <w:adjustRightInd w:val="0"/>
        <w:snapToGrid w:val="0"/>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以上时间会根据项目的进度有所变动，以实际为准。</w:t>
      </w:r>
    </w:p>
    <w:p>
      <w:pPr>
        <w:pageBreakBefore w:val="0"/>
        <w:kinsoku/>
        <w:topLinePunct w:val="0"/>
        <w:bidi w:val="0"/>
        <w:adjustRightInd w:val="0"/>
        <w:snapToGrid w:val="0"/>
        <w:spacing w:line="360" w:lineRule="auto"/>
        <w:ind w:firstLine="482" w:firstLineChars="200"/>
        <w:rPr>
          <w:b/>
          <w:sz w:val="24"/>
        </w:rPr>
      </w:pPr>
      <w:r>
        <w:rPr>
          <w:rFonts w:hint="eastAsia"/>
          <w:b/>
          <w:sz w:val="24"/>
          <w:lang w:val="en-US" w:eastAsia="zh-CN"/>
        </w:rPr>
        <w:t>九</w:t>
      </w:r>
      <w:r>
        <w:rPr>
          <w:rFonts w:hint="eastAsia"/>
          <w:b/>
          <w:sz w:val="24"/>
        </w:rPr>
        <w:t>、附件</w:t>
      </w:r>
    </w:p>
    <w:p>
      <w:pPr>
        <w:pageBreakBefore w:val="0"/>
        <w:kinsoku/>
        <w:topLinePunct w:val="0"/>
        <w:bidi w:val="0"/>
        <w:adjustRightInd w:val="0"/>
        <w:snapToGrid w:val="0"/>
        <w:spacing w:line="360" w:lineRule="auto"/>
        <w:ind w:firstLine="480" w:firstLineChars="200"/>
        <w:rPr>
          <w:rFonts w:ascii="宋体" w:hAnsi="宋体" w:cs="宋体"/>
          <w:sz w:val="24"/>
        </w:rPr>
      </w:pPr>
      <w:r>
        <w:rPr>
          <w:rFonts w:hint="eastAsia" w:ascii="宋体" w:hAnsi="宋体" w:cs="宋体"/>
          <w:sz w:val="24"/>
        </w:rPr>
        <w:t>附件一：资格预审必要合格条件标准</w:t>
      </w:r>
    </w:p>
    <w:p>
      <w:pPr>
        <w:pageBreakBefore w:val="0"/>
        <w:kinsoku/>
        <w:topLinePunct w:val="0"/>
        <w:bidi w:val="0"/>
        <w:adjustRightInd w:val="0"/>
        <w:snapToGrid w:val="0"/>
        <w:spacing w:line="360" w:lineRule="auto"/>
        <w:ind w:firstLine="480" w:firstLineChars="200"/>
        <w:rPr>
          <w:rFonts w:ascii="宋体" w:hAnsi="宋体" w:cs="宋体"/>
          <w:sz w:val="24"/>
        </w:rPr>
      </w:pPr>
      <w:r>
        <w:rPr>
          <w:rFonts w:hint="eastAsia" w:ascii="宋体" w:hAnsi="宋体" w:cs="宋体"/>
          <w:sz w:val="24"/>
        </w:rPr>
        <w:t>附件二：投标预审资料提交模板（点击下载）</w:t>
      </w:r>
    </w:p>
    <w:p>
      <w:pPr>
        <w:pageBreakBefore w:val="0"/>
        <w:widowControl/>
        <w:kinsoku/>
        <w:topLinePunct w:val="0"/>
        <w:bidi w:val="0"/>
        <w:spacing w:line="360" w:lineRule="auto"/>
        <w:jc w:val="left"/>
        <w:rPr>
          <w:rFonts w:hint="eastAsia" w:ascii="仿宋" w:hAnsi="仿宋" w:eastAsia="仿宋"/>
          <w:b/>
          <w:sz w:val="32"/>
          <w:szCs w:val="32"/>
        </w:rPr>
      </w:pPr>
    </w:p>
    <w:p>
      <w:pPr>
        <w:pageBreakBefore w:val="0"/>
        <w:widowControl/>
        <w:kinsoku/>
        <w:topLinePunct w:val="0"/>
        <w:bidi w:val="0"/>
        <w:spacing w:line="360" w:lineRule="auto"/>
        <w:jc w:val="right"/>
        <w:rPr>
          <w:rFonts w:hint="default" w:ascii="宋体" w:hAnsi="宋体" w:eastAsia="宋体" w:cs="宋体"/>
          <w:b w:val="0"/>
          <w:bCs/>
          <w:sz w:val="24"/>
          <w:szCs w:val="24"/>
          <w:lang w:val="en-US" w:eastAsia="zh-CN"/>
        </w:rPr>
      </w:pPr>
      <w:bookmarkStart w:id="2" w:name="_GoBack"/>
      <w:r>
        <w:rPr>
          <w:rFonts w:hint="eastAsia" w:ascii="宋体" w:hAnsi="宋体" w:eastAsia="宋体" w:cs="宋体"/>
          <w:b w:val="0"/>
          <w:bCs/>
          <w:sz w:val="24"/>
          <w:szCs w:val="24"/>
          <w:lang w:val="en-US" w:eastAsia="zh-CN"/>
        </w:rPr>
        <w:t>2024年8月14日</w:t>
      </w:r>
    </w:p>
    <w:bookmarkEnd w:id="2"/>
    <w:p>
      <w:pPr>
        <w:pageBreakBefore w:val="0"/>
        <w:widowControl/>
        <w:kinsoku/>
        <w:topLinePunct w:val="0"/>
        <w:bidi w:val="0"/>
        <w:spacing w:line="360" w:lineRule="auto"/>
        <w:jc w:val="left"/>
        <w:rPr>
          <w:rFonts w:hint="eastAsia" w:ascii="仿宋" w:hAnsi="仿宋" w:eastAsia="仿宋"/>
          <w:b/>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F447E2"/>
    <w:rsid w:val="024F20E6"/>
    <w:rsid w:val="0EDF74F6"/>
    <w:rsid w:val="0F1D3EF1"/>
    <w:rsid w:val="0F376B26"/>
    <w:rsid w:val="10F447E2"/>
    <w:rsid w:val="275F262B"/>
    <w:rsid w:val="30F27D3E"/>
    <w:rsid w:val="34741C89"/>
    <w:rsid w:val="35037934"/>
    <w:rsid w:val="37987BD2"/>
    <w:rsid w:val="46CF4B02"/>
    <w:rsid w:val="599D6671"/>
    <w:rsid w:val="620B7474"/>
    <w:rsid w:val="6BB83066"/>
    <w:rsid w:val="71465609"/>
    <w:rsid w:val="776C3CCF"/>
    <w:rsid w:val="7A9A0E79"/>
    <w:rsid w:val="7E6D6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paragraph" w:styleId="2">
    <w:name w:val="heading 3"/>
    <w:basedOn w:val="1"/>
    <w:next w:val="1"/>
    <w:qFormat/>
    <w:uiPriority w:val="0"/>
    <w:pPr>
      <w:keepNext/>
      <w:keepLines/>
      <w:spacing w:before="120" w:after="120"/>
      <w:ind w:firstLine="0" w:firstLineChars="0"/>
      <w:outlineLvl w:val="2"/>
    </w:pPr>
    <w:rPr>
      <w:b/>
      <w:bCs/>
      <w:szCs w:val="21"/>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toc 1"/>
    <w:basedOn w:val="1"/>
    <w:next w:val="1"/>
    <w:qFormat/>
    <w:uiPriority w:val="39"/>
    <w:pPr>
      <w:widowControl/>
      <w:spacing w:before="120" w:after="120" w:line="360" w:lineRule="auto"/>
      <w:jc w:val="left"/>
    </w:pPr>
    <w:rPr>
      <w:rFonts w:ascii="Calibri" w:hAnsi="Calibri"/>
      <w:b/>
      <w:caps/>
      <w:kern w:val="0"/>
      <w:szCs w:val="20"/>
    </w:rPr>
  </w:style>
  <w:style w:type="paragraph" w:styleId="6">
    <w:name w:val="toc 2"/>
    <w:basedOn w:val="1"/>
    <w:next w:val="1"/>
    <w:qFormat/>
    <w:uiPriority w:val="39"/>
    <w:pPr>
      <w:ind w:left="420" w:leftChars="200"/>
    </w:pPr>
    <w:rPr>
      <w:rFonts w:eastAsia="仿宋"/>
      <w:sz w:val="28"/>
    </w:rPr>
  </w:style>
  <w:style w:type="paragraph" w:styleId="7">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qFormat/>
    <w:uiPriority w:val="34"/>
    <w:pPr>
      <w:ind w:firstLine="420"/>
    </w:pPr>
  </w:style>
  <w:style w:type="paragraph" w:customStyle="1" w:styleId="1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22</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2024-08-12T01:16:00Z</dcterms:created>
  <dc:creator>WWP</dc:creator>
  <cp:lastModifiedBy>WWP</cp:lastModifiedBy>
  <dcterms:modified xsi:type="dcterms:W3CDTF">2024-08-13T00:59:59Z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