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C82AD6">
      <w:pPr>
        <w:pStyle w:val="3"/>
        <w:snapToGrid w:val="0"/>
        <w:spacing w:line="460" w:lineRule="exact"/>
        <w:jc w:val="center"/>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t>舍得酒业股份有限公司</w:t>
      </w:r>
    </w:p>
    <w:p w14:paraId="207D66AD">
      <w:pPr>
        <w:pStyle w:val="3"/>
        <w:snapToGrid w:val="0"/>
        <w:spacing w:line="460" w:lineRule="exact"/>
        <w:jc w:val="center"/>
        <w:rPr>
          <w:rFonts w:hint="eastAsia" w:ascii="仿宋" w:hAnsi="仿宋" w:eastAsia="仿宋" w:cs="仿宋"/>
          <w:b/>
          <w:bCs/>
          <w:sz w:val="32"/>
          <w:szCs w:val="32"/>
        </w:rPr>
      </w:pPr>
      <w:r>
        <w:rPr>
          <w:rFonts w:hint="eastAsia" w:ascii="仿宋" w:hAnsi="仿宋" w:eastAsia="仿宋" w:cs="仿宋"/>
          <w:b/>
          <w:bCs/>
          <w:sz w:val="32"/>
          <w:szCs w:val="32"/>
          <w:lang w:eastAsia="zh-CN"/>
        </w:rPr>
        <w:t>舍得酒雕塑制作及安装项目</w:t>
      </w:r>
      <w:r>
        <w:rPr>
          <w:rFonts w:hint="eastAsia" w:ascii="仿宋" w:hAnsi="仿宋" w:eastAsia="仿宋" w:cs="仿宋"/>
          <w:b/>
          <w:bCs/>
          <w:sz w:val="32"/>
          <w:szCs w:val="32"/>
        </w:rPr>
        <w:t>招标公告</w:t>
      </w:r>
    </w:p>
    <w:p w14:paraId="68B92112">
      <w:pPr>
        <w:tabs>
          <w:tab w:val="right" w:leader="dot" w:pos="9471"/>
        </w:tabs>
        <w:spacing w:line="420" w:lineRule="exact"/>
        <w:jc w:val="center"/>
        <w:rPr>
          <w:rFonts w:hint="eastAsia" w:ascii="仿宋" w:hAnsi="仿宋" w:eastAsia="仿宋" w:cs="仿宋"/>
          <w:bCs/>
          <w:sz w:val="24"/>
        </w:rPr>
      </w:pPr>
      <w:r>
        <w:rPr>
          <w:rFonts w:hint="eastAsia" w:ascii="仿宋" w:hAnsi="仿宋" w:eastAsia="仿宋" w:cs="仿宋"/>
          <w:bCs/>
          <w:sz w:val="24"/>
        </w:rPr>
        <w:t>舍司招(2024)-ZC3-50</w:t>
      </w:r>
    </w:p>
    <w:p w14:paraId="441C80E4">
      <w:pPr>
        <w:spacing w:before="240" w:beforeLines="100" w:line="440" w:lineRule="exact"/>
        <w:ind w:firstLine="482" w:firstLineChars="200"/>
        <w:outlineLvl w:val="1"/>
        <w:rPr>
          <w:rFonts w:hint="eastAsia" w:ascii="仿宋" w:hAnsi="仿宋" w:eastAsia="仿宋" w:cs="仿宋"/>
          <w:b/>
          <w:sz w:val="24"/>
        </w:rPr>
      </w:pPr>
      <w:bookmarkStart w:id="0" w:name="_Toc22484"/>
      <w:bookmarkStart w:id="1" w:name="_Toc17501"/>
      <w:bookmarkStart w:id="2" w:name="_Toc21899"/>
      <w:bookmarkStart w:id="3" w:name="_Toc3953"/>
      <w:bookmarkStart w:id="4" w:name="_Toc32115"/>
      <w:bookmarkStart w:id="5" w:name="_Toc31590"/>
      <w:r>
        <w:rPr>
          <w:rFonts w:hint="eastAsia" w:ascii="仿宋" w:hAnsi="仿宋" w:eastAsia="仿宋" w:cs="仿宋"/>
          <w:b/>
          <w:sz w:val="24"/>
        </w:rPr>
        <w:t>一、招标条件</w:t>
      </w:r>
      <w:bookmarkEnd w:id="0"/>
      <w:bookmarkEnd w:id="1"/>
      <w:bookmarkEnd w:id="2"/>
      <w:bookmarkEnd w:id="3"/>
      <w:bookmarkEnd w:id="4"/>
      <w:bookmarkEnd w:id="5"/>
    </w:p>
    <w:p w14:paraId="3DB17B45">
      <w:pPr>
        <w:tabs>
          <w:tab w:val="right" w:leader="dot" w:pos="9471"/>
        </w:tabs>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本招标项目</w:t>
      </w:r>
      <w:r>
        <w:rPr>
          <w:rFonts w:hint="eastAsia" w:ascii="仿宋" w:hAnsi="仿宋" w:eastAsia="仿宋" w:cs="仿宋"/>
          <w:sz w:val="24"/>
          <w:u w:val="single"/>
          <w:lang w:eastAsia="zh-CN"/>
        </w:rPr>
        <w:t>舍得酒雕塑制作及安装项目</w:t>
      </w:r>
      <w:r>
        <w:rPr>
          <w:rFonts w:hint="eastAsia" w:ascii="仿宋" w:hAnsi="仿宋" w:eastAsia="仿宋" w:cs="仿宋"/>
          <w:sz w:val="24"/>
        </w:rPr>
        <w:t>已由</w:t>
      </w:r>
      <w:r>
        <w:rPr>
          <w:rFonts w:hint="eastAsia" w:ascii="仿宋" w:hAnsi="仿宋" w:eastAsia="仿宋" w:cs="仿宋"/>
          <w:sz w:val="24"/>
          <w:u w:val="single"/>
          <w:lang w:eastAsia="zh-CN"/>
        </w:rPr>
        <w:t>舍得酒业股份有限公司</w:t>
      </w:r>
      <w:r>
        <w:rPr>
          <w:rFonts w:hint="eastAsia" w:ascii="仿宋" w:hAnsi="仿宋" w:eastAsia="仿宋" w:cs="仿宋"/>
          <w:sz w:val="24"/>
        </w:rPr>
        <w:t>确定实施，项目业主为</w:t>
      </w:r>
      <w:r>
        <w:rPr>
          <w:rFonts w:hint="eastAsia" w:ascii="仿宋" w:hAnsi="仿宋" w:eastAsia="仿宋" w:cs="仿宋"/>
          <w:sz w:val="24"/>
          <w:u w:val="none"/>
        </w:rPr>
        <w:t> </w:t>
      </w:r>
      <w:r>
        <w:rPr>
          <w:rFonts w:hint="eastAsia" w:ascii="仿宋" w:hAnsi="仿宋" w:eastAsia="仿宋" w:cs="仿宋"/>
          <w:sz w:val="24"/>
          <w:u w:val="single"/>
          <w:lang w:eastAsia="zh-CN"/>
        </w:rPr>
        <w:t>舍得酒业股份有限公司</w:t>
      </w:r>
      <w:r>
        <w:rPr>
          <w:rFonts w:hint="eastAsia" w:ascii="仿宋" w:hAnsi="仿宋" w:eastAsia="仿宋" w:cs="仿宋"/>
          <w:sz w:val="24"/>
          <w:u w:val="single"/>
        </w:rPr>
        <w:t> </w:t>
      </w:r>
      <w:r>
        <w:rPr>
          <w:rFonts w:hint="eastAsia" w:ascii="仿宋" w:hAnsi="仿宋" w:eastAsia="仿宋" w:cs="仿宋"/>
          <w:sz w:val="24"/>
        </w:rPr>
        <w:t>，建设资金来自</w:t>
      </w:r>
      <w:r>
        <w:rPr>
          <w:rFonts w:hint="eastAsia" w:ascii="仿宋" w:hAnsi="仿宋" w:eastAsia="仿宋" w:cs="仿宋"/>
          <w:sz w:val="24"/>
          <w:u w:val="single"/>
          <w:lang w:eastAsia="zh-CN"/>
        </w:rPr>
        <w:t> 业主自筹 ，</w:t>
      </w:r>
      <w:r>
        <w:rPr>
          <w:rFonts w:hint="eastAsia" w:ascii="仿宋" w:hAnsi="仿宋" w:eastAsia="仿宋" w:cs="仿宋"/>
          <w:sz w:val="24"/>
        </w:rPr>
        <w:t>项目出资比例为</w:t>
      </w:r>
      <w:r>
        <w:rPr>
          <w:rFonts w:hint="eastAsia" w:ascii="仿宋" w:hAnsi="仿宋" w:eastAsia="仿宋" w:cs="仿宋"/>
          <w:sz w:val="24"/>
          <w:u w:val="single"/>
        </w:rPr>
        <w:t> 100% </w:t>
      </w:r>
      <w:r>
        <w:rPr>
          <w:rFonts w:hint="eastAsia" w:ascii="仿宋" w:hAnsi="仿宋" w:eastAsia="仿宋" w:cs="仿宋"/>
          <w:sz w:val="24"/>
        </w:rPr>
        <w:t>，招标人为</w:t>
      </w:r>
      <w:r>
        <w:rPr>
          <w:rFonts w:hint="eastAsia" w:ascii="仿宋" w:hAnsi="仿宋" w:eastAsia="仿宋" w:cs="仿宋"/>
          <w:sz w:val="24"/>
          <w:u w:val="single"/>
          <w:lang w:eastAsia="zh-CN"/>
        </w:rPr>
        <w:t>舍得酒业股份有限公司</w:t>
      </w:r>
      <w:r>
        <w:rPr>
          <w:rFonts w:hint="eastAsia" w:ascii="仿宋" w:hAnsi="仿宋" w:eastAsia="仿宋" w:cs="仿宋"/>
          <w:sz w:val="24"/>
        </w:rPr>
        <w:t>。项目已具备招标条件，现对该项目进行公开招标，欢迎有兴趣的潜在投标人递交资格预审文件，并通过资格预审程序确定合格的投标人邀请名单。</w:t>
      </w:r>
    </w:p>
    <w:p w14:paraId="48A4AB5F">
      <w:pPr>
        <w:tabs>
          <w:tab w:val="right" w:leader="dot" w:pos="9471"/>
        </w:tabs>
        <w:spacing w:line="440" w:lineRule="exact"/>
        <w:ind w:firstLine="482" w:firstLineChars="200"/>
        <w:jc w:val="left"/>
        <w:outlineLvl w:val="1"/>
        <w:rPr>
          <w:rFonts w:hint="eastAsia" w:ascii="仿宋" w:hAnsi="仿宋" w:eastAsia="仿宋" w:cs="仿宋"/>
          <w:b/>
          <w:sz w:val="24"/>
        </w:rPr>
      </w:pPr>
      <w:bookmarkStart w:id="6" w:name="_Toc14699"/>
      <w:bookmarkStart w:id="7" w:name="_Toc1392"/>
      <w:bookmarkStart w:id="8" w:name="_Toc6803"/>
      <w:bookmarkStart w:id="9" w:name="_Toc12264"/>
      <w:bookmarkStart w:id="10" w:name="_Toc7165"/>
      <w:bookmarkStart w:id="11" w:name="_Toc25488"/>
      <w:r>
        <w:rPr>
          <w:rFonts w:hint="eastAsia" w:ascii="仿宋" w:hAnsi="仿宋" w:eastAsia="仿宋" w:cs="仿宋"/>
          <w:b/>
          <w:sz w:val="24"/>
        </w:rPr>
        <w:t>二、项目概况与招标范围</w:t>
      </w:r>
      <w:bookmarkEnd w:id="6"/>
      <w:bookmarkEnd w:id="7"/>
      <w:bookmarkEnd w:id="8"/>
      <w:bookmarkEnd w:id="9"/>
      <w:bookmarkEnd w:id="10"/>
      <w:bookmarkEnd w:id="11"/>
    </w:p>
    <w:p w14:paraId="22622087">
      <w:pPr>
        <w:adjustRightInd w:val="0"/>
        <w:snapToGrid w:val="0"/>
        <w:spacing w:line="440" w:lineRule="exact"/>
        <w:ind w:firstLine="480" w:firstLineChars="200"/>
        <w:rPr>
          <w:rFonts w:hint="eastAsia" w:ascii="仿宋" w:hAnsi="仿宋" w:eastAsia="仿宋" w:cs="仿宋"/>
          <w:sz w:val="24"/>
          <w:lang w:eastAsia="zh-CN"/>
        </w:rPr>
      </w:pPr>
      <w:r>
        <w:rPr>
          <w:rFonts w:hint="eastAsia" w:ascii="仿宋" w:hAnsi="仿宋" w:eastAsia="仿宋" w:cs="仿宋"/>
          <w:sz w:val="24"/>
        </w:rPr>
        <w:t>2.1 项目名称：</w:t>
      </w:r>
      <w:r>
        <w:rPr>
          <w:rFonts w:hint="eastAsia" w:ascii="仿宋" w:hAnsi="仿宋" w:eastAsia="仿宋" w:cs="仿宋"/>
          <w:sz w:val="24"/>
          <w:lang w:eastAsia="zh-CN"/>
        </w:rPr>
        <w:t>舍得酒雕塑制作及安装项目</w:t>
      </w:r>
      <w:bookmarkStart w:id="63" w:name="_GoBack"/>
      <w:bookmarkEnd w:id="63"/>
    </w:p>
    <w:p w14:paraId="4426583E">
      <w:pPr>
        <w:adjustRightInd w:val="0"/>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2.2 项目地址：四川省射洪市</w:t>
      </w:r>
    </w:p>
    <w:p w14:paraId="630D1158">
      <w:pPr>
        <w:adjustRightInd w:val="0"/>
        <w:snapToGrid w:val="0"/>
        <w:spacing w:line="440" w:lineRule="exact"/>
        <w:ind w:firstLine="480" w:firstLineChars="200"/>
        <w:rPr>
          <w:rFonts w:hint="eastAsia" w:ascii="仿宋" w:hAnsi="仿宋" w:eastAsia="仿宋" w:cs="仿宋"/>
          <w:sz w:val="24"/>
          <w:lang w:eastAsia="zh-CN"/>
        </w:rPr>
      </w:pPr>
      <w:r>
        <w:rPr>
          <w:rFonts w:hint="eastAsia" w:ascii="仿宋" w:hAnsi="仿宋" w:eastAsia="仿宋" w:cs="仿宋"/>
          <w:sz w:val="24"/>
        </w:rPr>
        <w:t>2.3 建设单位：</w:t>
      </w:r>
      <w:r>
        <w:rPr>
          <w:rFonts w:hint="eastAsia" w:ascii="仿宋" w:hAnsi="仿宋" w:eastAsia="仿宋" w:cs="仿宋"/>
          <w:sz w:val="24"/>
          <w:lang w:eastAsia="zh-CN"/>
        </w:rPr>
        <w:t>舍得酒业股份有限公司</w:t>
      </w:r>
    </w:p>
    <w:p w14:paraId="7A1ECD00">
      <w:pPr>
        <w:adjustRightInd w:val="0"/>
        <w:snapToGrid w:val="0"/>
        <w:spacing w:line="440" w:lineRule="exact"/>
        <w:ind w:firstLine="480" w:firstLineChars="200"/>
        <w:outlineLvl w:val="9"/>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4</w:t>
      </w:r>
      <w:r>
        <w:rPr>
          <w:rFonts w:hint="eastAsia" w:ascii="仿宋" w:hAnsi="仿宋" w:eastAsia="仿宋" w:cs="仿宋"/>
          <w:sz w:val="24"/>
        </w:rPr>
        <w:t xml:space="preserve"> 招标范围：</w:t>
      </w:r>
    </w:p>
    <w:p w14:paraId="6AF30930">
      <w:pPr>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对本项目方案所示酒瓶及底座雕塑提供深化设计（含地面以下基础）、制作、运输、安装及后期维护等的工程总承包服务。服务不包含雕塑安装要求所需的地面以下基础土建施工。</w:t>
      </w:r>
    </w:p>
    <w:p w14:paraId="67DE2938">
      <w:pPr>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lang w:val="en-US" w:eastAsia="zh-CN"/>
        </w:rPr>
        <w:t>2.5</w:t>
      </w:r>
      <w:r>
        <w:rPr>
          <w:rFonts w:hint="eastAsia" w:ascii="仿宋" w:hAnsi="仿宋" w:eastAsia="仿宋" w:cs="仿宋"/>
          <w:sz w:val="24"/>
        </w:rPr>
        <w:t>质保期：10年，质保期的起始时间从双方签署的安装验收合格报告之日起计算。</w:t>
      </w:r>
    </w:p>
    <w:p w14:paraId="00F5A7D2">
      <w:pPr>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lang w:val="en-US" w:eastAsia="zh-CN"/>
        </w:rPr>
        <w:t>2.6</w:t>
      </w:r>
      <w:r>
        <w:rPr>
          <w:rFonts w:hint="eastAsia" w:ascii="仿宋" w:hAnsi="仿宋" w:eastAsia="仿宋" w:cs="仿宋"/>
          <w:sz w:val="24"/>
        </w:rPr>
        <w:t>运维期：10年，运维期的起始时间从双方签署的安装验收合格报告之日起计算。</w:t>
      </w:r>
    </w:p>
    <w:p w14:paraId="1087DCE4">
      <w:pPr>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2.7 质量标准：符合现行国家、行业以及地方强制性和推荐性规范、标准要求，满足使用需求。 </w:t>
      </w:r>
    </w:p>
    <w:p w14:paraId="7E3213C1">
      <w:pPr>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2.8 工期：90个日历天，其中深化设计30个日历天，制作安装等60个日历天。开工日期以甲方发出的书面通知为准。</w:t>
      </w:r>
    </w:p>
    <w:p w14:paraId="7FA3F62D">
      <w:pPr>
        <w:adjustRightInd w:val="0"/>
        <w:snapToGrid w:val="0"/>
        <w:spacing w:line="440" w:lineRule="exact"/>
        <w:ind w:firstLine="482" w:firstLineChars="200"/>
        <w:outlineLvl w:val="1"/>
        <w:rPr>
          <w:rFonts w:hint="eastAsia" w:ascii="仿宋" w:hAnsi="仿宋" w:eastAsia="仿宋" w:cs="仿宋"/>
          <w:b/>
          <w:bCs/>
          <w:sz w:val="24"/>
        </w:rPr>
      </w:pPr>
      <w:bookmarkStart w:id="12" w:name="_Toc19135"/>
      <w:bookmarkStart w:id="13" w:name="_Toc22538"/>
      <w:bookmarkStart w:id="14" w:name="_Toc6759"/>
      <w:bookmarkStart w:id="15" w:name="_Toc28817"/>
      <w:bookmarkStart w:id="16" w:name="_Toc6751"/>
      <w:bookmarkStart w:id="17" w:name="_Toc16471"/>
      <w:r>
        <w:rPr>
          <w:rFonts w:hint="eastAsia" w:ascii="仿宋" w:hAnsi="仿宋" w:eastAsia="仿宋" w:cs="仿宋"/>
          <w:b/>
          <w:bCs/>
          <w:sz w:val="24"/>
        </w:rPr>
        <w:t>三、以下条件属于资格审查必要合格条件</w:t>
      </w:r>
      <w:bookmarkEnd w:id="12"/>
      <w:bookmarkEnd w:id="13"/>
      <w:bookmarkEnd w:id="14"/>
      <w:bookmarkEnd w:id="15"/>
      <w:bookmarkEnd w:id="16"/>
      <w:bookmarkEnd w:id="17"/>
    </w:p>
    <w:p w14:paraId="72260911">
      <w:pPr>
        <w:numPr>
          <w:ilvl w:val="0"/>
          <w:numId w:val="0"/>
        </w:numPr>
        <w:adjustRightInd w:val="0"/>
        <w:snapToGrid w:val="0"/>
        <w:spacing w:line="440" w:lineRule="exact"/>
        <w:ind w:firstLine="480" w:firstLineChars="200"/>
        <w:jc w:val="left"/>
        <w:rPr>
          <w:rFonts w:hint="eastAsia" w:ascii="仿宋" w:hAnsi="仿宋" w:eastAsia="仿宋" w:cs="仿宋"/>
          <w:sz w:val="24"/>
          <w:highlight w:val="yellow"/>
        </w:rPr>
      </w:pPr>
      <w:r>
        <w:rPr>
          <w:rFonts w:hint="eastAsia" w:ascii="仿宋" w:hAnsi="仿宋" w:eastAsia="仿宋" w:cs="仿宋"/>
          <w:sz w:val="24"/>
        </w:rPr>
        <w:t>3.1投标人应具有独立的法人资格，持有在中国合法注册的《营业执照》，具有独立订立合同和履行合同的能力。</w:t>
      </w:r>
    </w:p>
    <w:p w14:paraId="28BE9A0C">
      <w:pPr>
        <w:numPr>
          <w:ilvl w:val="0"/>
          <w:numId w:val="0"/>
        </w:numPr>
        <w:adjustRightInd w:val="0"/>
        <w:snapToGrid w:val="0"/>
        <w:spacing w:line="44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highlight w:val="none"/>
        </w:rPr>
        <w:t>3.2</w:t>
      </w:r>
      <w:r>
        <w:rPr>
          <w:rFonts w:hint="eastAsia" w:ascii="仿宋" w:hAnsi="仿宋" w:eastAsia="仿宋" w:cs="仿宋"/>
          <w:sz w:val="24"/>
          <w:szCs w:val="24"/>
        </w:rPr>
        <w:t>本项目不接受挂靠、转包、联合体单位参与投标，单位负责人为同一人或者存在控股、管理关系的不同单位，不得参加同一标段投标或者未划分标段的同一招标项目投标。</w:t>
      </w:r>
      <w:r>
        <w:rPr>
          <w:rFonts w:hint="eastAsia" w:ascii="仿宋" w:hAnsi="仿宋" w:eastAsia="仿宋" w:cs="仿宋"/>
          <w:sz w:val="24"/>
          <w:szCs w:val="24"/>
          <w:highlight w:val="none"/>
        </w:rPr>
        <w:t>设计及施工允许分包</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实际执行的</w:t>
      </w:r>
      <w:r>
        <w:rPr>
          <w:rFonts w:hint="eastAsia" w:ascii="仿宋" w:hAnsi="仿宋" w:eastAsia="仿宋" w:cs="仿宋"/>
          <w:sz w:val="24"/>
          <w:szCs w:val="24"/>
          <w:highlight w:val="none"/>
        </w:rPr>
        <w:t>设计单位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施工单位</w:t>
      </w:r>
      <w:r>
        <w:rPr>
          <w:rFonts w:hint="eastAsia" w:ascii="仿宋" w:hAnsi="仿宋" w:eastAsia="仿宋" w:cs="仿宋"/>
          <w:sz w:val="24"/>
          <w:szCs w:val="24"/>
          <w:highlight w:val="none"/>
          <w:lang w:val="en-US" w:eastAsia="zh-CN"/>
        </w:rPr>
        <w:t>及其相关人员应具备相关资质（详见附件一</w:t>
      </w:r>
      <w:r>
        <w:rPr>
          <w:rFonts w:hint="eastAsia" w:ascii="仿宋" w:hAnsi="仿宋" w:eastAsia="仿宋" w:cs="仿宋"/>
          <w:sz w:val="24"/>
          <w:lang w:val="zh-CN"/>
        </w:rPr>
        <w:t>资格预审必要合格条件标准</w:t>
      </w:r>
      <w:r>
        <w:rPr>
          <w:rFonts w:hint="eastAsia" w:ascii="仿宋" w:hAnsi="仿宋" w:eastAsia="仿宋" w:cs="仿宋"/>
          <w:sz w:val="24"/>
          <w:szCs w:val="24"/>
          <w:highlight w:val="none"/>
          <w:lang w:val="en-US" w:eastAsia="zh-CN"/>
        </w:rPr>
        <w:t>），相关资质</w:t>
      </w:r>
      <w:r>
        <w:rPr>
          <w:rFonts w:hint="eastAsia" w:ascii="仿宋" w:hAnsi="仿宋" w:eastAsia="仿宋" w:cs="仿宋"/>
          <w:sz w:val="24"/>
          <w:szCs w:val="24"/>
          <w:highlight w:val="none"/>
        </w:rPr>
        <w:t>在投标阶段提报并经招标人审核。</w:t>
      </w:r>
    </w:p>
    <w:p w14:paraId="0CF8EE98">
      <w:pPr>
        <w:adjustRightInd w:val="0"/>
        <w:snapToGrid w:val="0"/>
        <w:spacing w:line="440" w:lineRule="exact"/>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3</w:t>
      </w:r>
      <w:r>
        <w:rPr>
          <w:rFonts w:hint="eastAsia" w:ascii="仿宋" w:hAnsi="仿宋" w:eastAsia="仿宋" w:cs="仿宋"/>
          <w:sz w:val="24"/>
        </w:rPr>
        <w:t>投标人在本项目涉及的相关行业有不良记录，以及曾为招标人提供相关服务但被评估为不合格或存在不良履约记录的，其投标将被拒绝。</w:t>
      </w:r>
    </w:p>
    <w:p w14:paraId="357B41B8">
      <w:pPr>
        <w:adjustRightInd w:val="0"/>
        <w:snapToGrid w:val="0"/>
        <w:spacing w:line="440" w:lineRule="exact"/>
        <w:ind w:firstLine="480" w:firstLineChars="200"/>
        <w:outlineLvl w:val="9"/>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sz w:val="24"/>
          <w:lang w:val="en-US" w:eastAsia="zh-CN"/>
        </w:rPr>
        <w:t>4</w:t>
      </w:r>
      <w:r>
        <w:rPr>
          <w:rFonts w:hint="eastAsia" w:ascii="仿宋" w:hAnsi="仿宋" w:eastAsia="仿宋" w:cs="仿宋"/>
          <w:sz w:val="24"/>
        </w:rPr>
        <w:t>投标人须符合《资格预审必要合格条件标准》（见附件一）。</w:t>
      </w:r>
    </w:p>
    <w:p w14:paraId="5D8F6B74">
      <w:pPr>
        <w:widowControl/>
        <w:spacing w:line="360" w:lineRule="auto"/>
        <w:jc w:val="left"/>
        <w:rPr>
          <w:rFonts w:hint="eastAsia" w:ascii="仿宋" w:hAnsi="仿宋" w:eastAsia="仿宋"/>
          <w:b/>
          <w:sz w:val="28"/>
          <w:szCs w:val="28"/>
          <w:highlight w:val="none"/>
        </w:rPr>
      </w:pPr>
    </w:p>
    <w:p w14:paraId="47A84E9A">
      <w:pPr>
        <w:adjustRightInd w:val="0"/>
        <w:snapToGrid w:val="0"/>
        <w:spacing w:line="440" w:lineRule="exact"/>
        <w:ind w:firstLine="482" w:firstLineChars="200"/>
        <w:outlineLvl w:val="1"/>
        <w:rPr>
          <w:rFonts w:hint="eastAsia" w:ascii="仿宋" w:hAnsi="仿宋" w:eastAsia="仿宋" w:cs="仿宋"/>
          <w:b/>
          <w:bCs/>
          <w:sz w:val="24"/>
        </w:rPr>
      </w:pPr>
      <w:bookmarkStart w:id="18" w:name="_Toc30075"/>
      <w:bookmarkStart w:id="19" w:name="_Toc24684"/>
      <w:bookmarkStart w:id="20" w:name="_Toc8065"/>
      <w:bookmarkStart w:id="21" w:name="_Toc30197"/>
      <w:bookmarkStart w:id="22" w:name="_Toc29579"/>
      <w:bookmarkStart w:id="23" w:name="_Toc11323"/>
      <w:r>
        <w:rPr>
          <w:rFonts w:hint="eastAsia" w:ascii="仿宋" w:hAnsi="仿宋" w:eastAsia="仿宋" w:cs="仿宋"/>
          <w:b/>
          <w:bCs/>
          <w:sz w:val="24"/>
        </w:rPr>
        <w:t>四、确定潜在投标人的方法</w:t>
      </w:r>
      <w:bookmarkEnd w:id="18"/>
      <w:bookmarkEnd w:id="19"/>
      <w:bookmarkEnd w:id="20"/>
      <w:bookmarkEnd w:id="21"/>
      <w:bookmarkEnd w:id="22"/>
      <w:bookmarkEnd w:id="23"/>
    </w:p>
    <w:p w14:paraId="6C12457A">
      <w:pPr>
        <w:adjustRightInd w:val="0"/>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本项目资格预审采用合格制。投标人递交的资格预审文件（包括必要时的技术评估或考察）经审查均合格的，入围正式投标</w:t>
      </w:r>
      <w:r>
        <w:rPr>
          <w:rFonts w:hint="eastAsia" w:ascii="仿宋" w:hAnsi="仿宋" w:eastAsia="仿宋" w:cs="仿宋"/>
          <w:b/>
          <w:bCs/>
          <w:sz w:val="24"/>
        </w:rPr>
        <w:t>。</w:t>
      </w:r>
    </w:p>
    <w:p w14:paraId="23665C12">
      <w:pPr>
        <w:adjustRightInd w:val="0"/>
        <w:snapToGrid w:val="0"/>
        <w:spacing w:line="440" w:lineRule="exact"/>
        <w:ind w:firstLine="482" w:firstLineChars="200"/>
        <w:outlineLvl w:val="1"/>
        <w:rPr>
          <w:rFonts w:hint="eastAsia" w:ascii="仿宋" w:hAnsi="仿宋" w:eastAsia="仿宋" w:cs="仿宋"/>
          <w:b/>
          <w:sz w:val="24"/>
        </w:rPr>
      </w:pPr>
      <w:bookmarkStart w:id="24" w:name="_Toc14670"/>
      <w:bookmarkStart w:id="25" w:name="_Toc32383"/>
      <w:bookmarkStart w:id="26" w:name="_Toc27375"/>
      <w:bookmarkStart w:id="27" w:name="_Toc5358"/>
      <w:bookmarkStart w:id="28" w:name="_Toc13473"/>
      <w:bookmarkStart w:id="29" w:name="_Toc19960"/>
      <w:r>
        <w:rPr>
          <w:rFonts w:hint="eastAsia" w:ascii="仿宋" w:hAnsi="仿宋" w:eastAsia="仿宋" w:cs="仿宋"/>
          <w:b/>
          <w:sz w:val="24"/>
        </w:rPr>
        <w:t>五、投标保证金</w:t>
      </w:r>
      <w:bookmarkEnd w:id="24"/>
      <w:bookmarkEnd w:id="25"/>
      <w:bookmarkEnd w:id="26"/>
      <w:bookmarkEnd w:id="27"/>
      <w:bookmarkEnd w:id="28"/>
      <w:bookmarkEnd w:id="29"/>
    </w:p>
    <w:p w14:paraId="03EFC76B">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.1 投标保证金：</w:t>
      </w:r>
      <w:r>
        <w:rPr>
          <w:rFonts w:hint="eastAsia" w:ascii="仿宋" w:hAnsi="仿宋" w:eastAsia="仿宋" w:cs="仿宋"/>
          <w:sz w:val="24"/>
          <w:highlight w:val="none"/>
          <w:lang w:val="en-US" w:eastAsia="zh-CN"/>
        </w:rPr>
        <w:t>50,000</w:t>
      </w:r>
      <w:r>
        <w:rPr>
          <w:rFonts w:hint="eastAsia" w:ascii="仿宋" w:hAnsi="仿宋" w:eastAsia="仿宋" w:cs="仿宋"/>
          <w:sz w:val="24"/>
          <w:highlight w:val="none"/>
        </w:rPr>
        <w:t>元(人民币</w:t>
      </w:r>
      <w:r>
        <w:rPr>
          <w:rFonts w:hint="eastAsia" w:ascii="仿宋" w:hAnsi="仿宋" w:eastAsia="仿宋" w:cs="仿宋"/>
          <w:sz w:val="24"/>
          <w:highlight w:val="none"/>
          <w:lang w:val="en-US" w:eastAsia="zh-CN"/>
        </w:rPr>
        <w:t>五万</w:t>
      </w:r>
      <w:r>
        <w:rPr>
          <w:rFonts w:hint="eastAsia" w:ascii="仿宋" w:hAnsi="仿宋" w:eastAsia="仿宋" w:cs="仿宋"/>
          <w:sz w:val="24"/>
          <w:highlight w:val="none"/>
        </w:rPr>
        <w:t>元整）。投标人可在收到招标文件且确认参标后，在规定时间内上传保证金缴纳凭证。投标人以网银转账或电汇方式缴纳至招标人指定账户，转账需备注“舍得酒雕塑制作及安装项目-投标保证金”，投标保证金缴纳后登陆舍得酒业招采数字化平台（网址：https://ssrm.shede.com.cn）点击页面顶部“一链网”，在截止时间前上传转账凭证。</w:t>
      </w:r>
    </w:p>
    <w:p w14:paraId="39D14BB4">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保证金缴纳凭证上传截止时间： 2024年11月19日12:00前</w:t>
      </w:r>
    </w:p>
    <w:p w14:paraId="034BF400">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投标保证金凭证上传时间截止且经系统确认后，投标人方可递交投标文件，</w:t>
      </w:r>
    </w:p>
    <w:p w14:paraId="4F77BA82">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投标保证金缴纳账户信息如下：</w:t>
      </w:r>
    </w:p>
    <w:p w14:paraId="1E03B885">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开户单位：舍得酒业股份有限公司</w:t>
      </w:r>
    </w:p>
    <w:p w14:paraId="7144F246">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开户银行：中国工商银行射洪支行</w:t>
      </w:r>
    </w:p>
    <w:p w14:paraId="36EAA9E2">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银行帐号：2310 4641 0902 2509 624</w:t>
      </w:r>
    </w:p>
    <w:p w14:paraId="2F6C00CA">
      <w:pPr>
        <w:adjustRightInd w:val="0"/>
        <w:snapToGrid w:val="0"/>
        <w:spacing w:line="440" w:lineRule="exact"/>
        <w:ind w:firstLine="480" w:firstLineChars="200"/>
        <w:outlineLvl w:val="9"/>
        <w:rPr>
          <w:rFonts w:hint="eastAsia" w:ascii="仿宋" w:hAnsi="仿宋" w:eastAsia="仿宋" w:cs="仿宋"/>
          <w:sz w:val="24"/>
        </w:rPr>
      </w:pPr>
      <w:r>
        <w:rPr>
          <w:rFonts w:hint="eastAsia" w:ascii="仿宋" w:hAnsi="仿宋" w:eastAsia="仿宋" w:cs="仿宋"/>
          <w:sz w:val="24"/>
        </w:rPr>
        <w:t>5.2 保证金退还：</w:t>
      </w:r>
    </w:p>
    <w:p w14:paraId="59613B3B">
      <w:pPr>
        <w:adjustRightInd w:val="0"/>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若中标，则投标保证金自动转为合同履约保证金（履约保证金</w:t>
      </w:r>
      <w:r>
        <w:rPr>
          <w:rFonts w:hint="eastAsia" w:ascii="仿宋" w:hAnsi="仿宋" w:eastAsia="仿宋" w:cs="仿宋"/>
          <w:sz w:val="24"/>
          <w:lang w:val="en-US" w:eastAsia="zh-CN"/>
        </w:rPr>
        <w:t>为</w:t>
      </w:r>
      <w:r>
        <w:rPr>
          <w:rFonts w:hint="eastAsia" w:ascii="仿宋" w:hAnsi="仿宋" w:eastAsia="仿宋" w:cs="仿宋"/>
          <w:sz w:val="24"/>
          <w:highlight w:val="none"/>
        </w:rPr>
        <w:t>中标价</w:t>
      </w:r>
      <w:r>
        <w:rPr>
          <w:rFonts w:hint="eastAsia" w:ascii="仿宋" w:hAnsi="仿宋" w:eastAsia="仿宋" w:cs="仿宋"/>
          <w:sz w:val="24"/>
        </w:rPr>
        <w:t>的10%</w:t>
      </w:r>
      <w:r>
        <w:rPr>
          <w:rFonts w:hint="eastAsia" w:ascii="仿宋" w:hAnsi="仿宋" w:eastAsia="仿宋" w:cs="仿宋"/>
          <w:sz w:val="24"/>
          <w:lang w:eastAsia="zh-CN"/>
        </w:rPr>
        <w:t>，</w:t>
      </w:r>
      <w:r>
        <w:rPr>
          <w:rFonts w:hint="eastAsia" w:ascii="仿宋" w:hAnsi="仿宋" w:eastAsia="仿宋" w:cs="仿宋"/>
          <w:sz w:val="24"/>
        </w:rPr>
        <w:t>不足部分由中标方补齐），工程按期完工并验收合格后，招标人30日内返还履约保证金（不计利息）。未中标方在我司公示中选人后30日内一次性不计利息按原汇款路径退还投标保证金。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bookmarkStart w:id="30" w:name="_Hlk114040219"/>
    </w:p>
    <w:p w14:paraId="075BF9D5">
      <w:pPr>
        <w:adjustRightInd w:val="0"/>
        <w:snapToGrid w:val="0"/>
        <w:spacing w:line="440" w:lineRule="exact"/>
        <w:ind w:firstLine="482" w:firstLineChars="200"/>
        <w:outlineLvl w:val="1"/>
        <w:rPr>
          <w:rFonts w:hint="eastAsia" w:ascii="仿宋" w:hAnsi="仿宋" w:eastAsia="仿宋" w:cs="仿宋"/>
          <w:b/>
          <w:sz w:val="24"/>
        </w:rPr>
      </w:pPr>
      <w:bookmarkStart w:id="31" w:name="_Toc534"/>
      <w:bookmarkStart w:id="32" w:name="_Toc29033"/>
      <w:bookmarkStart w:id="33" w:name="_Toc14309"/>
      <w:bookmarkStart w:id="34" w:name="_Toc24916"/>
      <w:bookmarkStart w:id="35" w:name="_Toc20078"/>
      <w:bookmarkStart w:id="36" w:name="_Toc6180"/>
      <w:r>
        <w:rPr>
          <w:rFonts w:hint="eastAsia" w:ascii="仿宋" w:hAnsi="仿宋" w:eastAsia="仿宋" w:cs="仿宋"/>
          <w:b/>
          <w:sz w:val="24"/>
        </w:rPr>
        <w:t>六、投标报名联系人及时间安排</w:t>
      </w:r>
      <w:bookmarkEnd w:id="31"/>
      <w:bookmarkEnd w:id="32"/>
      <w:bookmarkEnd w:id="33"/>
      <w:bookmarkEnd w:id="34"/>
      <w:bookmarkEnd w:id="35"/>
      <w:bookmarkEnd w:id="36"/>
      <w:r>
        <w:rPr>
          <w:rFonts w:hint="eastAsia" w:ascii="仿宋" w:hAnsi="仿宋" w:eastAsia="仿宋" w:cs="仿宋"/>
          <w:b/>
          <w:sz w:val="24"/>
        </w:rPr>
        <w:t xml:space="preserve"> </w:t>
      </w:r>
    </w:p>
    <w:p w14:paraId="441D5AF3">
      <w:pPr>
        <w:adjustRightInd w:val="0"/>
        <w:snapToGrid w:val="0"/>
        <w:spacing w:line="440" w:lineRule="exact"/>
        <w:ind w:firstLine="480" w:firstLineChars="200"/>
        <w:outlineLvl w:val="9"/>
        <w:rPr>
          <w:rFonts w:hint="eastAsia" w:ascii="仿宋" w:hAnsi="仿宋" w:eastAsia="仿宋" w:cs="仿宋"/>
          <w:sz w:val="24"/>
        </w:rPr>
      </w:pPr>
      <w:r>
        <w:rPr>
          <w:rFonts w:hint="eastAsia" w:ascii="仿宋" w:hAnsi="仿宋" w:eastAsia="仿宋" w:cs="仿宋"/>
          <w:sz w:val="24"/>
        </w:rPr>
        <w:t>6.1投标联系人及方式：</w:t>
      </w:r>
    </w:p>
    <w:p w14:paraId="2918EB56">
      <w:pPr>
        <w:adjustRightInd w:val="0"/>
        <w:snapToGrid w:val="0"/>
        <w:spacing w:line="440" w:lineRule="exact"/>
        <w:ind w:firstLine="480" w:firstLineChars="200"/>
        <w:rPr>
          <w:rFonts w:hint="eastAsia" w:ascii="仿宋" w:hAnsi="仿宋" w:eastAsia="仿宋" w:cs="仿宋"/>
          <w:sz w:val="24"/>
        </w:rPr>
      </w:pPr>
      <w:r>
        <w:rPr>
          <w:rFonts w:hint="eastAsia" w:ascii="仿宋" w:hAnsi="仿宋" w:eastAsia="仿宋" w:cs="仿宋"/>
          <w:sz w:val="24"/>
        </w:rPr>
        <w:t>①投标联系人：</w:t>
      </w:r>
      <w:r>
        <w:rPr>
          <w:rFonts w:hint="eastAsia" w:ascii="仿宋" w:hAnsi="仿宋" w:eastAsia="仿宋" w:cs="仿宋"/>
          <w:sz w:val="24"/>
          <w:lang w:val="en-US" w:eastAsia="zh-CN"/>
        </w:rPr>
        <w:t>廖</w:t>
      </w:r>
      <w:r>
        <w:rPr>
          <w:rFonts w:hint="eastAsia" w:ascii="仿宋" w:hAnsi="仿宋" w:eastAsia="仿宋" w:cs="仿宋"/>
          <w:sz w:val="24"/>
        </w:rPr>
        <w:t>先生   电话</w:t>
      </w:r>
      <w:r>
        <w:rPr>
          <w:rFonts w:hint="eastAsia" w:ascii="仿宋" w:hAnsi="仿宋" w:eastAsia="仿宋" w:cs="仿宋"/>
          <w:sz w:val="24"/>
          <w:lang w:val="en-US" w:eastAsia="zh-CN"/>
        </w:rPr>
        <w:t>17381541946</w:t>
      </w:r>
      <w:r>
        <w:rPr>
          <w:rFonts w:hint="eastAsia" w:ascii="仿宋" w:hAnsi="仿宋" w:eastAsia="仿宋" w:cs="仿宋"/>
          <w:sz w:val="24"/>
        </w:rPr>
        <w:t xml:space="preserve">  09：30-17：30</w:t>
      </w:r>
    </w:p>
    <w:p w14:paraId="10A46D7F">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rPr>
        <w:t>②报名截</w:t>
      </w:r>
      <w:r>
        <w:rPr>
          <w:rFonts w:hint="eastAsia" w:ascii="仿宋" w:hAnsi="仿宋" w:eastAsia="仿宋" w:cs="仿宋"/>
          <w:sz w:val="24"/>
          <w:highlight w:val="none"/>
        </w:rPr>
        <w:t>止时间：2024年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12</w:t>
      </w:r>
      <w:r>
        <w:rPr>
          <w:rFonts w:hint="eastAsia" w:ascii="仿宋" w:hAnsi="仿宋" w:eastAsia="仿宋" w:cs="仿宋"/>
          <w:sz w:val="24"/>
          <w:highlight w:val="none"/>
        </w:rPr>
        <w:t>日</w:t>
      </w:r>
      <w:r>
        <w:rPr>
          <w:rFonts w:hint="eastAsia" w:ascii="仿宋" w:hAnsi="仿宋" w:eastAsia="仿宋" w:cs="仿宋"/>
          <w:sz w:val="24"/>
          <w:highlight w:val="none"/>
          <w:lang w:val="en-US" w:eastAsia="zh-CN"/>
        </w:rPr>
        <w:t>上午12</w:t>
      </w:r>
      <w:r>
        <w:rPr>
          <w:rFonts w:hint="eastAsia" w:ascii="仿宋" w:hAnsi="仿宋" w:eastAsia="仿宋" w:cs="仿宋"/>
          <w:sz w:val="24"/>
          <w:highlight w:val="none"/>
        </w:rPr>
        <w:t>:00前</w:t>
      </w:r>
    </w:p>
    <w:p w14:paraId="40AF0B5F">
      <w:pPr>
        <w:adjustRightInd w:val="0"/>
        <w:snapToGrid w:val="0"/>
        <w:spacing w:line="44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1A38AF55">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6.2招标文件的获取方式</w:t>
      </w:r>
    </w:p>
    <w:p w14:paraId="6D52B9A9">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登陆舍得酒业招采数字化平台（网址： https://ssrm.shede.com.cn），点击页面顶部的“一链网”获取招标文件。</w:t>
      </w:r>
    </w:p>
    <w:p w14:paraId="012744BC">
      <w:pPr>
        <w:adjustRightInd w:val="0"/>
        <w:snapToGrid w:val="0"/>
        <w:spacing w:line="440" w:lineRule="exact"/>
        <w:ind w:firstLine="480" w:firstLineChars="200"/>
        <w:outlineLvl w:val="9"/>
        <w:rPr>
          <w:rFonts w:hint="eastAsia" w:ascii="仿宋" w:hAnsi="仿宋" w:eastAsia="仿宋" w:cs="仿宋"/>
          <w:sz w:val="24"/>
          <w:highlight w:val="none"/>
        </w:rPr>
      </w:pPr>
      <w:r>
        <w:rPr>
          <w:rFonts w:hint="eastAsia" w:ascii="仿宋" w:hAnsi="仿宋" w:eastAsia="仿宋" w:cs="仿宋"/>
          <w:sz w:val="24"/>
          <w:highlight w:val="none"/>
        </w:rPr>
        <w:t>6.3时间安排：</w:t>
      </w:r>
    </w:p>
    <w:p w14:paraId="7ACD6281">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本项目发标时间：2024年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14</w:t>
      </w:r>
      <w:r>
        <w:rPr>
          <w:rFonts w:hint="eastAsia" w:ascii="仿宋" w:hAnsi="仿宋" w:eastAsia="仿宋" w:cs="仿宋"/>
          <w:sz w:val="24"/>
          <w:highlight w:val="none"/>
        </w:rPr>
        <w:t>日</w:t>
      </w:r>
    </w:p>
    <w:p w14:paraId="6901AE80">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本项目回标时间：2024年</w:t>
      </w:r>
      <w:r>
        <w:rPr>
          <w:rFonts w:hint="eastAsia" w:ascii="仿宋" w:hAnsi="仿宋" w:eastAsia="仿宋" w:cs="仿宋"/>
          <w:sz w:val="24"/>
          <w:highlight w:val="none"/>
          <w:lang w:val="en-US" w:eastAsia="zh-CN"/>
        </w:rPr>
        <w:t>12</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5</w:t>
      </w:r>
      <w:r>
        <w:rPr>
          <w:rFonts w:hint="eastAsia" w:ascii="仿宋" w:hAnsi="仿宋" w:eastAsia="仿宋" w:cs="仿宋"/>
          <w:sz w:val="24"/>
          <w:highlight w:val="none"/>
        </w:rPr>
        <w:t>日</w:t>
      </w:r>
    </w:p>
    <w:p w14:paraId="2BFFD4D4">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本项目开标时间：2024年</w:t>
      </w:r>
      <w:r>
        <w:rPr>
          <w:rFonts w:hint="eastAsia" w:ascii="仿宋" w:hAnsi="仿宋" w:eastAsia="仿宋" w:cs="仿宋"/>
          <w:sz w:val="24"/>
          <w:highlight w:val="none"/>
          <w:lang w:val="en-US" w:eastAsia="zh-CN"/>
        </w:rPr>
        <w:t>12</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日</w:t>
      </w:r>
    </w:p>
    <w:p w14:paraId="3DC89225">
      <w:pPr>
        <w:adjustRightInd w:val="0"/>
        <w:snapToGrid w:val="0"/>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以上时间会根据项目的进度有所变动，以实际为准。</w:t>
      </w:r>
      <w:bookmarkEnd w:id="30"/>
    </w:p>
    <w:p w14:paraId="34951DF1">
      <w:pPr>
        <w:adjustRightInd w:val="0"/>
        <w:snapToGrid w:val="0"/>
        <w:spacing w:line="440" w:lineRule="exact"/>
        <w:ind w:firstLine="482" w:firstLineChars="200"/>
        <w:outlineLvl w:val="1"/>
        <w:rPr>
          <w:rFonts w:hint="eastAsia" w:ascii="仿宋" w:hAnsi="仿宋" w:eastAsia="仿宋" w:cs="仿宋"/>
          <w:b/>
          <w:sz w:val="24"/>
          <w:highlight w:val="none"/>
        </w:rPr>
      </w:pPr>
      <w:bookmarkStart w:id="37" w:name="_Toc31882"/>
      <w:bookmarkStart w:id="38" w:name="_Toc8390"/>
      <w:bookmarkStart w:id="39" w:name="_Toc27155"/>
      <w:bookmarkStart w:id="40" w:name="_Toc8223"/>
      <w:bookmarkStart w:id="41" w:name="_Toc4454"/>
      <w:bookmarkStart w:id="42" w:name="_Toc31244"/>
      <w:r>
        <w:rPr>
          <w:rFonts w:hint="eastAsia" w:ascii="仿宋" w:hAnsi="仿宋" w:eastAsia="仿宋" w:cs="仿宋"/>
          <w:b/>
          <w:sz w:val="24"/>
          <w:highlight w:val="none"/>
        </w:rPr>
        <w:t>七、发布公告的媒介</w:t>
      </w:r>
      <w:bookmarkEnd w:id="37"/>
      <w:bookmarkEnd w:id="38"/>
      <w:bookmarkEnd w:id="39"/>
      <w:bookmarkEnd w:id="40"/>
      <w:bookmarkEnd w:id="41"/>
      <w:bookmarkEnd w:id="42"/>
    </w:p>
    <w:p w14:paraId="582A508A">
      <w:pPr>
        <w:tabs>
          <w:tab w:val="right" w:leader="dot" w:pos="9471"/>
        </w:tabs>
        <w:spacing w:line="460" w:lineRule="exact"/>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本招标公告于2024年</w:t>
      </w:r>
      <w:r>
        <w:rPr>
          <w:rFonts w:hint="eastAsia" w:ascii="仿宋" w:hAnsi="仿宋" w:eastAsia="仿宋" w:cs="仿宋"/>
          <w:sz w:val="24"/>
          <w:highlight w:val="none"/>
          <w:lang w:val="en-US" w:eastAsia="zh-CN"/>
        </w:rPr>
        <w:t>11</w:t>
      </w:r>
      <w:r>
        <w:rPr>
          <w:rFonts w:hint="eastAsia" w:ascii="仿宋" w:hAnsi="仿宋" w:eastAsia="仿宋" w:cs="仿宋"/>
          <w:sz w:val="24"/>
          <w:highlight w:val="none"/>
        </w:rPr>
        <w:t>月</w:t>
      </w:r>
      <w:r>
        <w:rPr>
          <w:rFonts w:hint="eastAsia" w:ascii="仿宋" w:hAnsi="仿宋" w:eastAsia="仿宋" w:cs="仿宋"/>
          <w:sz w:val="24"/>
          <w:highlight w:val="none"/>
          <w:lang w:val="en-US" w:eastAsia="zh-CN"/>
        </w:rPr>
        <w:t>6</w:t>
      </w:r>
      <w:r>
        <w:rPr>
          <w:rFonts w:hint="eastAsia" w:ascii="仿宋" w:hAnsi="仿宋" w:eastAsia="仿宋" w:cs="仿宋"/>
          <w:sz w:val="24"/>
          <w:highlight w:val="none"/>
        </w:rPr>
        <w:t>日在如下网站发布：</w:t>
      </w:r>
    </w:p>
    <w:p w14:paraId="6ECDA423">
      <w:pPr>
        <w:tabs>
          <w:tab w:val="right" w:leader="dot" w:pos="9471"/>
        </w:tabs>
        <w:spacing w:line="460" w:lineRule="exact"/>
        <w:ind w:firstLine="480" w:firstLineChars="200"/>
        <w:jc w:val="left"/>
        <w:rPr>
          <w:rFonts w:hint="eastAsia" w:ascii="仿宋" w:hAnsi="仿宋" w:eastAsia="仿宋" w:cs="仿宋"/>
          <w:sz w:val="24"/>
        </w:rPr>
      </w:pPr>
      <w:r>
        <w:rPr>
          <w:rFonts w:hint="eastAsia" w:ascii="仿宋" w:hAnsi="仿宋" w:eastAsia="仿宋" w:cs="仿宋"/>
          <w:sz w:val="24"/>
          <w:lang w:eastAsia="zh-CN"/>
        </w:rPr>
        <w:t>舍得酒业股份有限公司</w:t>
      </w:r>
      <w:r>
        <w:rPr>
          <w:rFonts w:hint="eastAsia" w:ascii="仿宋" w:hAnsi="仿宋" w:eastAsia="仿宋" w:cs="仿宋"/>
          <w:sz w:val="24"/>
          <w:lang w:val="zh-CN"/>
        </w:rPr>
        <w:t>官网</w:t>
      </w:r>
      <w:r>
        <w:rPr>
          <w:rFonts w:hint="eastAsia" w:ascii="仿宋" w:hAnsi="仿宋" w:eastAsia="仿宋" w:cs="仿宋"/>
          <w:sz w:val="24"/>
        </w:rPr>
        <w:t>（http://www.tuopaishede.cn）</w:t>
      </w:r>
    </w:p>
    <w:p w14:paraId="1C5026A9">
      <w:pPr>
        <w:tabs>
          <w:tab w:val="right" w:leader="dot" w:pos="9471"/>
        </w:tabs>
        <w:spacing w:line="460" w:lineRule="exact"/>
        <w:ind w:firstLine="480" w:firstLineChars="200"/>
        <w:jc w:val="left"/>
        <w:rPr>
          <w:rFonts w:hint="eastAsia" w:ascii="仿宋" w:hAnsi="仿宋" w:eastAsia="仿宋" w:cs="仿宋"/>
          <w:sz w:val="24"/>
        </w:rPr>
      </w:pPr>
      <w:r>
        <w:rPr>
          <w:rFonts w:hint="eastAsia" w:ascii="仿宋" w:hAnsi="仿宋" w:eastAsia="仿宋" w:cs="仿宋"/>
          <w:sz w:val="24"/>
          <w:lang w:val="zh-CN"/>
        </w:rPr>
        <w:t>中国招标采购导航网</w:t>
      </w:r>
      <w:r>
        <w:rPr>
          <w:rFonts w:hint="eastAsia" w:ascii="仿宋" w:hAnsi="仿宋" w:eastAsia="仿宋" w:cs="仿宋"/>
          <w:sz w:val="24"/>
        </w:rPr>
        <w:t>（http://www.okcis.cn）</w:t>
      </w:r>
    </w:p>
    <w:p w14:paraId="06353F04">
      <w:pPr>
        <w:tabs>
          <w:tab w:val="right" w:leader="dot" w:pos="9471"/>
        </w:tabs>
        <w:spacing w:line="460" w:lineRule="exact"/>
        <w:ind w:firstLine="480" w:firstLineChars="200"/>
        <w:jc w:val="left"/>
        <w:rPr>
          <w:rFonts w:hint="eastAsia" w:ascii="仿宋" w:hAnsi="仿宋" w:eastAsia="仿宋" w:cs="仿宋"/>
          <w:sz w:val="24"/>
        </w:rPr>
      </w:pPr>
      <w:r>
        <w:rPr>
          <w:rFonts w:hint="eastAsia" w:ascii="仿宋" w:hAnsi="仿宋" w:eastAsia="仿宋" w:cs="仿宋"/>
          <w:sz w:val="24"/>
          <w:lang w:val="zh-CN"/>
        </w:rPr>
        <w:t>中国采购与招标网</w:t>
      </w:r>
      <w:r>
        <w:rPr>
          <w:rFonts w:hint="eastAsia" w:ascii="仿宋" w:hAnsi="仿宋" w:eastAsia="仿宋" w:cs="仿宋"/>
          <w:sz w:val="24"/>
        </w:rPr>
        <w:t>（http://www.chinabidding.com.cn）</w:t>
      </w:r>
    </w:p>
    <w:p w14:paraId="3DC284A8">
      <w:pPr>
        <w:adjustRightInd w:val="0"/>
        <w:snapToGrid w:val="0"/>
        <w:spacing w:line="440" w:lineRule="exact"/>
        <w:ind w:firstLine="482" w:firstLineChars="200"/>
        <w:outlineLvl w:val="1"/>
        <w:rPr>
          <w:rFonts w:hint="eastAsia" w:ascii="仿宋" w:hAnsi="仿宋" w:eastAsia="仿宋" w:cs="仿宋"/>
          <w:b/>
          <w:sz w:val="24"/>
        </w:rPr>
      </w:pPr>
      <w:bookmarkStart w:id="43" w:name="_Toc18098"/>
      <w:bookmarkStart w:id="44" w:name="_Toc27331"/>
      <w:bookmarkStart w:id="45" w:name="_Toc21266"/>
      <w:bookmarkStart w:id="46" w:name="_Toc3114"/>
      <w:bookmarkStart w:id="47" w:name="_Toc514"/>
      <w:bookmarkStart w:id="48" w:name="_Toc15028"/>
      <w:r>
        <w:rPr>
          <w:rFonts w:hint="eastAsia" w:ascii="仿宋" w:hAnsi="仿宋" w:eastAsia="仿宋" w:cs="仿宋"/>
          <w:b/>
          <w:sz w:val="24"/>
        </w:rPr>
        <w:t>八、附件</w:t>
      </w:r>
      <w:bookmarkEnd w:id="43"/>
      <w:bookmarkEnd w:id="44"/>
      <w:bookmarkEnd w:id="45"/>
      <w:bookmarkEnd w:id="46"/>
      <w:bookmarkEnd w:id="47"/>
      <w:bookmarkEnd w:id="48"/>
    </w:p>
    <w:p w14:paraId="666157B4">
      <w:pPr>
        <w:tabs>
          <w:tab w:val="right" w:leader="dot" w:pos="9471"/>
        </w:tabs>
        <w:adjustRightInd/>
        <w:snapToGrid/>
        <w:spacing w:line="460" w:lineRule="exact"/>
        <w:ind w:firstLine="480" w:firstLineChars="200"/>
        <w:jc w:val="left"/>
        <w:rPr>
          <w:rFonts w:hint="eastAsia" w:ascii="仿宋" w:hAnsi="仿宋" w:eastAsia="仿宋" w:cs="仿宋"/>
          <w:sz w:val="24"/>
          <w:lang w:val="zh-CN"/>
        </w:rPr>
      </w:pPr>
      <w:r>
        <w:rPr>
          <w:rFonts w:hint="eastAsia" w:ascii="仿宋" w:hAnsi="仿宋" w:eastAsia="仿宋" w:cs="仿宋"/>
          <w:sz w:val="24"/>
          <w:lang w:val="zh-CN"/>
        </w:rPr>
        <w:t>附件一：资格预审必要合格条件标准</w:t>
      </w:r>
    </w:p>
    <w:p w14:paraId="3317F803">
      <w:pPr>
        <w:tabs>
          <w:tab w:val="right" w:leader="dot" w:pos="9471"/>
        </w:tabs>
        <w:adjustRightInd/>
        <w:snapToGrid/>
        <w:spacing w:line="460" w:lineRule="exact"/>
        <w:ind w:firstLine="480" w:firstLineChars="200"/>
        <w:jc w:val="left"/>
        <w:outlineLvl w:val="9"/>
        <w:rPr>
          <w:rFonts w:hint="eastAsia" w:ascii="仿宋" w:hAnsi="仿宋" w:eastAsia="仿宋" w:cs="仿宋"/>
          <w:sz w:val="24"/>
          <w:lang w:val="zh-CN"/>
        </w:rPr>
      </w:pPr>
      <w:bookmarkStart w:id="49" w:name="_Toc28001"/>
      <w:bookmarkStart w:id="50" w:name="_Toc19535"/>
      <w:bookmarkStart w:id="51" w:name="_Toc6149"/>
      <w:bookmarkStart w:id="52" w:name="_Toc30187"/>
      <w:bookmarkStart w:id="53" w:name="_Toc15467"/>
      <w:bookmarkStart w:id="54" w:name="_Toc8513"/>
      <w:bookmarkStart w:id="55" w:name="_Toc10568"/>
      <w:bookmarkStart w:id="56" w:name="_Toc20394"/>
      <w:bookmarkStart w:id="57" w:name="_Toc27708"/>
      <w:bookmarkStart w:id="58" w:name="_Toc20359"/>
      <w:bookmarkStart w:id="59" w:name="_Toc32432"/>
      <w:bookmarkStart w:id="60" w:name="_Toc12010"/>
      <w:bookmarkStart w:id="61" w:name="_Toc29250"/>
      <w:r>
        <w:rPr>
          <w:rFonts w:hint="eastAsia" w:ascii="仿宋" w:hAnsi="仿宋" w:eastAsia="仿宋" w:cs="仿宋"/>
          <w:sz w:val="24"/>
          <w:lang w:val="zh-CN"/>
        </w:rPr>
        <w:t>附件二：投标预审资料提交模板</w:t>
      </w:r>
      <w:bookmarkEnd w:id="49"/>
      <w:bookmarkEnd w:id="50"/>
      <w:bookmarkEnd w:id="51"/>
      <w:bookmarkEnd w:id="52"/>
      <w:bookmarkEnd w:id="53"/>
      <w:bookmarkEnd w:id="54"/>
      <w:bookmarkEnd w:id="55"/>
      <w:bookmarkEnd w:id="56"/>
      <w:bookmarkEnd w:id="57"/>
      <w:bookmarkEnd w:id="58"/>
      <w:bookmarkEnd w:id="59"/>
      <w:bookmarkEnd w:id="60"/>
      <w:bookmarkEnd w:id="61"/>
      <w:r>
        <w:rPr>
          <w:rFonts w:hint="eastAsia" w:ascii="仿宋" w:hAnsi="仿宋" w:eastAsia="仿宋" w:cs="仿宋"/>
          <w:sz w:val="24"/>
          <w:lang w:val="zh-CN"/>
        </w:rPr>
        <w:t>（点击文章末尾下载）</w:t>
      </w:r>
    </w:p>
    <w:p w14:paraId="007F5302"/>
    <w:p w14:paraId="5623625E"/>
    <w:p w14:paraId="7B5D1373">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62" w:name="_Hlk108623121"/>
      <w:r>
        <w:rPr>
          <w:rFonts w:ascii="仿宋" w:hAnsi="仿宋" w:eastAsia="仿宋"/>
          <w:b/>
          <w:sz w:val="28"/>
          <w:szCs w:val="28"/>
          <w:highlight w:val="none"/>
        </w:rPr>
        <w:t>资格预审必要合格条件标准</w:t>
      </w:r>
    </w:p>
    <w:tbl>
      <w:tblPr>
        <w:tblStyle w:val="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
        <w:gridCol w:w="1475"/>
        <w:gridCol w:w="6159"/>
      </w:tblGrid>
      <w:tr w14:paraId="6949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noWrap w:val="0"/>
            <w:vAlign w:val="center"/>
          </w:tcPr>
          <w:p w14:paraId="4F8932F1">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noWrap w:val="0"/>
            <w:vAlign w:val="center"/>
          </w:tcPr>
          <w:p w14:paraId="0D302862">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6" w:type="pct"/>
            <w:noWrap w:val="0"/>
            <w:vAlign w:val="center"/>
          </w:tcPr>
          <w:p w14:paraId="2BE0D3BE">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14:paraId="144B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noWrap w:val="0"/>
            <w:vAlign w:val="center"/>
          </w:tcPr>
          <w:p w14:paraId="11AD1FF3">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noWrap w:val="0"/>
            <w:vAlign w:val="center"/>
          </w:tcPr>
          <w:p w14:paraId="4F4B4404">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6" w:type="pct"/>
            <w:noWrap w:val="0"/>
            <w:vAlign w:val="center"/>
          </w:tcPr>
          <w:p w14:paraId="55940020">
            <w:pPr>
              <w:spacing w:line="360" w:lineRule="auto"/>
              <w:jc w:val="both"/>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3D650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1" w:hRule="atLeast"/>
          <w:jc w:val="center"/>
        </w:trPr>
        <w:tc>
          <w:tcPr>
            <w:tcW w:w="517" w:type="pct"/>
            <w:noWrap w:val="0"/>
            <w:vAlign w:val="center"/>
          </w:tcPr>
          <w:p w14:paraId="1BF99799">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noWrap w:val="0"/>
            <w:vAlign w:val="center"/>
          </w:tcPr>
          <w:p w14:paraId="5FE47441">
            <w:pPr>
              <w:spacing w:line="360" w:lineRule="auto"/>
              <w:jc w:val="center"/>
              <w:rPr>
                <w:rFonts w:ascii="仿宋" w:hAnsi="仿宋" w:eastAsia="仿宋"/>
                <w:sz w:val="22"/>
                <w:szCs w:val="21"/>
                <w:highlight w:val="none"/>
              </w:rPr>
            </w:pPr>
            <w:r>
              <w:rPr>
                <w:rFonts w:hint="eastAsia" w:ascii="仿宋" w:hAnsi="仿宋" w:eastAsia="仿宋"/>
                <w:sz w:val="22"/>
                <w:szCs w:val="21"/>
                <w:highlight w:val="none"/>
                <w:lang w:val="en-US" w:eastAsia="zh-CN"/>
              </w:rPr>
              <w:t>投标人</w:t>
            </w:r>
            <w:r>
              <w:rPr>
                <w:rFonts w:hint="eastAsia" w:ascii="仿宋" w:hAnsi="仿宋" w:eastAsia="仿宋"/>
                <w:sz w:val="22"/>
                <w:szCs w:val="21"/>
                <w:highlight w:val="none"/>
              </w:rPr>
              <w:t>资质要求</w:t>
            </w:r>
          </w:p>
        </w:tc>
        <w:tc>
          <w:tcPr>
            <w:tcW w:w="3616" w:type="pct"/>
            <w:noWrap w:val="0"/>
            <w:vAlign w:val="center"/>
          </w:tcPr>
          <w:p w14:paraId="2819F5CF">
            <w:pPr>
              <w:pStyle w:val="2"/>
              <w:spacing w:line="360" w:lineRule="auto"/>
              <w:jc w:val="both"/>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3</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304ED0A3">
            <w:pPr>
              <w:pStyle w:val="2"/>
              <w:spacing w:line="360" w:lineRule="auto"/>
              <w:jc w:val="both"/>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1000</w:t>
            </w:r>
            <w:r>
              <w:rPr>
                <w:rFonts w:hint="eastAsia" w:ascii="仿宋" w:hAnsi="仿宋" w:eastAsia="仿宋"/>
                <w:b w:val="0"/>
                <w:bCs w:val="0"/>
                <w:sz w:val="22"/>
                <w:szCs w:val="22"/>
                <w:highlight w:val="none"/>
              </w:rPr>
              <w:t>万元或等额外币，具有良好银行资信和商业信誉（提供经正式审计的财务报表）</w:t>
            </w:r>
            <w:r>
              <w:rPr>
                <w:rFonts w:hint="eastAsia" w:ascii="仿宋" w:hAnsi="仿宋" w:eastAsia="仿宋"/>
                <w:b w:val="0"/>
                <w:bCs w:val="0"/>
                <w:sz w:val="22"/>
                <w:szCs w:val="22"/>
                <w:highlight w:val="none"/>
                <w:lang w:eastAsia="zh-CN"/>
              </w:rPr>
              <w:t>，</w:t>
            </w:r>
            <w:r>
              <w:rPr>
                <w:rFonts w:hint="eastAsia" w:ascii="仿宋" w:hAnsi="仿宋" w:eastAsia="仿宋"/>
                <w:b w:val="0"/>
                <w:bCs w:val="0"/>
                <w:sz w:val="22"/>
                <w:szCs w:val="22"/>
                <w:highlight w:val="none"/>
              </w:rPr>
              <w:t>实缴资本不少于100万人民币。</w:t>
            </w:r>
          </w:p>
        </w:tc>
      </w:tr>
      <w:tr w14:paraId="65CA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noWrap w:val="0"/>
            <w:vAlign w:val="center"/>
          </w:tcPr>
          <w:p w14:paraId="1E6CC6D9">
            <w:pPr>
              <w:tabs>
                <w:tab w:val="center" w:pos="4153"/>
                <w:tab w:val="right" w:pos="8306"/>
              </w:tabs>
              <w:snapToGrid w:val="0"/>
              <w:spacing w:line="360" w:lineRule="auto"/>
              <w:jc w:val="center"/>
              <w:rPr>
                <w:rFonts w:hint="eastAsia" w:ascii="仿宋" w:hAnsi="仿宋" w:eastAsia="仿宋"/>
                <w:sz w:val="22"/>
                <w:szCs w:val="21"/>
                <w:highlight w:val="none"/>
                <w:lang w:eastAsia="zh-CN"/>
              </w:rPr>
            </w:pPr>
            <w:r>
              <w:rPr>
                <w:rFonts w:hint="eastAsia" w:ascii="仿宋" w:hAnsi="仿宋" w:eastAsia="仿宋"/>
                <w:sz w:val="22"/>
                <w:szCs w:val="21"/>
                <w:highlight w:val="none"/>
                <w:lang w:val="en-US" w:eastAsia="zh-CN"/>
              </w:rPr>
              <w:t>3</w:t>
            </w:r>
          </w:p>
        </w:tc>
        <w:tc>
          <w:tcPr>
            <w:tcW w:w="866" w:type="pct"/>
            <w:noWrap w:val="0"/>
            <w:vAlign w:val="center"/>
          </w:tcPr>
          <w:p w14:paraId="32C5D6F4">
            <w:pPr>
              <w:spacing w:line="360" w:lineRule="auto"/>
              <w:jc w:val="center"/>
              <w:rPr>
                <w:rFonts w:ascii="仿宋" w:hAnsi="仿宋" w:eastAsia="仿宋"/>
                <w:sz w:val="22"/>
                <w:szCs w:val="21"/>
                <w:highlight w:val="none"/>
              </w:rPr>
            </w:pPr>
            <w:r>
              <w:rPr>
                <w:rFonts w:hint="eastAsia" w:ascii="仿宋" w:hAnsi="仿宋" w:eastAsia="仿宋"/>
                <w:sz w:val="22"/>
                <w:szCs w:val="21"/>
                <w:highlight w:val="none"/>
                <w:lang w:val="en-US" w:eastAsia="zh-CN"/>
              </w:rPr>
              <w:t>投标人</w:t>
            </w:r>
            <w:r>
              <w:rPr>
                <w:rFonts w:hint="eastAsia" w:ascii="仿宋" w:hAnsi="仿宋" w:eastAsia="仿宋"/>
                <w:sz w:val="22"/>
                <w:szCs w:val="21"/>
                <w:highlight w:val="none"/>
              </w:rPr>
              <w:t>业绩要求</w:t>
            </w:r>
          </w:p>
        </w:tc>
        <w:tc>
          <w:tcPr>
            <w:tcW w:w="3616" w:type="pct"/>
            <w:noWrap w:val="0"/>
            <w:vAlign w:val="center"/>
          </w:tcPr>
          <w:p w14:paraId="5F67E604">
            <w:pPr>
              <w:widowControl/>
              <w:spacing w:line="360" w:lineRule="auto"/>
              <w:jc w:val="both"/>
              <w:rPr>
                <w:rFonts w:ascii="仿宋" w:hAnsi="仿宋" w:eastAsia="仿宋" w:cs="宋体"/>
                <w:kern w:val="0"/>
                <w:sz w:val="22"/>
                <w:szCs w:val="21"/>
                <w:highlight w:val="none"/>
              </w:rPr>
            </w:pPr>
            <w:r>
              <w:rPr>
                <w:rFonts w:hint="eastAsia" w:ascii="仿宋" w:hAnsi="仿宋" w:eastAsia="仿宋" w:cs="宋体"/>
                <w:kern w:val="0"/>
                <w:sz w:val="22"/>
                <w:szCs w:val="21"/>
                <w:highlight w:val="none"/>
                <w:lang w:eastAsia="zh-CN"/>
              </w:rPr>
              <w:t>投标人</w:t>
            </w:r>
            <w:r>
              <w:rPr>
                <w:rFonts w:hint="eastAsia" w:ascii="仿宋" w:hAnsi="仿宋" w:eastAsia="仿宋" w:cs="宋体"/>
                <w:kern w:val="0"/>
                <w:sz w:val="22"/>
                <w:szCs w:val="21"/>
                <w:highlight w:val="none"/>
                <w:lang w:val="en-US" w:eastAsia="zh-CN"/>
              </w:rPr>
              <w:t>具有丰富的雕塑实施经验，</w:t>
            </w:r>
            <w:r>
              <w:rPr>
                <w:rFonts w:hint="eastAsia" w:ascii="仿宋" w:hAnsi="仿宋" w:eastAsia="仿宋" w:cs="宋体"/>
                <w:kern w:val="0"/>
                <w:sz w:val="22"/>
                <w:szCs w:val="21"/>
                <w:highlight w:val="none"/>
                <w:lang w:eastAsia="zh-CN"/>
              </w:rPr>
              <w:t>须提供</w:t>
            </w:r>
            <w:r>
              <w:rPr>
                <w:rFonts w:hint="eastAsia" w:ascii="仿宋" w:hAnsi="仿宋" w:eastAsia="仿宋" w:cs="宋体"/>
                <w:kern w:val="0"/>
                <w:sz w:val="22"/>
                <w:szCs w:val="21"/>
                <w:highlight w:val="none"/>
                <w:lang w:val="en-US" w:eastAsia="zh-CN"/>
              </w:rPr>
              <w:t>投标人从</w:t>
            </w:r>
            <w:r>
              <w:rPr>
                <w:rFonts w:hint="eastAsia" w:ascii="仿宋" w:hAnsi="仿宋" w:eastAsia="仿宋" w:cs="宋体"/>
                <w:kern w:val="0"/>
                <w:sz w:val="22"/>
                <w:szCs w:val="21"/>
                <w:highlight w:val="none"/>
                <w:lang w:eastAsia="zh-CN"/>
              </w:rPr>
              <w:t>2020年1月1日至今大型雕塑实施业绩不少于2例，且单项合同金额不小于100万元。</w:t>
            </w:r>
            <w:r>
              <w:rPr>
                <w:rFonts w:hint="eastAsia" w:ascii="仿宋" w:hAnsi="仿宋" w:eastAsia="仿宋" w:cs="宋体"/>
                <w:kern w:val="0"/>
                <w:sz w:val="22"/>
                <w:szCs w:val="21"/>
                <w:highlight w:val="none"/>
                <w:lang w:val="en-US" w:eastAsia="zh-CN"/>
              </w:rPr>
              <w:t>须</w:t>
            </w:r>
            <w:r>
              <w:rPr>
                <w:rFonts w:hint="eastAsia" w:ascii="仿宋" w:hAnsi="仿宋" w:eastAsia="仿宋" w:cs="宋体"/>
                <w:kern w:val="0"/>
                <w:sz w:val="22"/>
                <w:szCs w:val="21"/>
                <w:highlight w:val="none"/>
              </w:rPr>
              <w:t>提供合同关键页扫描件（甲乙方名称及双方盖章可见，合同主要内容概述、金额、时间可见）</w:t>
            </w:r>
            <w:r>
              <w:rPr>
                <w:rFonts w:hint="eastAsia" w:ascii="仿宋" w:hAnsi="仿宋" w:eastAsia="仿宋" w:cs="宋体"/>
                <w:kern w:val="0"/>
                <w:sz w:val="22"/>
                <w:szCs w:val="21"/>
                <w:highlight w:val="none"/>
                <w:lang w:val="en-US" w:eastAsia="zh-CN"/>
              </w:rPr>
              <w:t>及对应合同发票</w:t>
            </w:r>
            <w:r>
              <w:rPr>
                <w:rFonts w:hint="eastAsia" w:ascii="仿宋" w:hAnsi="仿宋" w:eastAsia="仿宋" w:cs="宋体"/>
                <w:kern w:val="0"/>
                <w:sz w:val="22"/>
                <w:szCs w:val="21"/>
                <w:highlight w:val="none"/>
              </w:rPr>
              <w:t>。</w:t>
            </w:r>
          </w:p>
        </w:tc>
      </w:tr>
      <w:tr w14:paraId="485D8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17" w:type="pct"/>
            <w:noWrap w:val="0"/>
            <w:vAlign w:val="center"/>
          </w:tcPr>
          <w:p w14:paraId="13C880AA">
            <w:pPr>
              <w:spacing w:line="360" w:lineRule="auto"/>
              <w:jc w:val="center"/>
              <w:rPr>
                <w:rFonts w:hint="eastAsia" w:ascii="仿宋" w:hAnsi="仿宋" w:eastAsia="仿宋"/>
                <w:sz w:val="22"/>
                <w:szCs w:val="21"/>
                <w:highlight w:val="none"/>
                <w:lang w:eastAsia="zh-CN"/>
              </w:rPr>
            </w:pPr>
            <w:r>
              <w:rPr>
                <w:rFonts w:hint="eastAsia" w:ascii="仿宋" w:hAnsi="仿宋" w:eastAsia="仿宋"/>
                <w:sz w:val="22"/>
                <w:szCs w:val="21"/>
                <w:highlight w:val="none"/>
                <w:lang w:val="en-US" w:eastAsia="zh-CN"/>
              </w:rPr>
              <w:t>4</w:t>
            </w:r>
          </w:p>
        </w:tc>
        <w:tc>
          <w:tcPr>
            <w:tcW w:w="866" w:type="pct"/>
            <w:noWrap w:val="0"/>
            <w:vAlign w:val="center"/>
          </w:tcPr>
          <w:p w14:paraId="024BE1AC">
            <w:pPr>
              <w:spacing w:line="360" w:lineRule="auto"/>
              <w:jc w:val="center"/>
              <w:rPr>
                <w:rFonts w:hint="eastAsia" w:ascii="仿宋" w:hAnsi="仿宋" w:eastAsia="仿宋"/>
                <w:sz w:val="22"/>
                <w:szCs w:val="21"/>
                <w:highlight w:val="none"/>
                <w:lang w:val="en-US" w:eastAsia="zh-CN"/>
              </w:rPr>
            </w:pPr>
            <w:r>
              <w:rPr>
                <w:rFonts w:hint="eastAsia" w:ascii="仿宋" w:hAnsi="仿宋" w:eastAsia="仿宋"/>
                <w:sz w:val="22"/>
                <w:szCs w:val="21"/>
                <w:highlight w:val="none"/>
              </w:rPr>
              <w:t>投标要求</w:t>
            </w:r>
          </w:p>
        </w:tc>
        <w:tc>
          <w:tcPr>
            <w:tcW w:w="3616" w:type="pct"/>
            <w:noWrap w:val="0"/>
            <w:vAlign w:val="center"/>
          </w:tcPr>
          <w:p w14:paraId="753D250F">
            <w:pPr>
              <w:spacing w:line="360" w:lineRule="auto"/>
              <w:jc w:val="both"/>
              <w:rPr>
                <w:rFonts w:hint="eastAsia" w:ascii="仿宋" w:hAnsi="仿宋" w:eastAsia="仿宋" w:cs="宋体"/>
                <w:kern w:val="0"/>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3A34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517" w:type="pct"/>
            <w:noWrap w:val="0"/>
            <w:vAlign w:val="center"/>
          </w:tcPr>
          <w:p w14:paraId="4CD565E6">
            <w:pPr>
              <w:tabs>
                <w:tab w:val="center" w:pos="4153"/>
                <w:tab w:val="right" w:pos="8306"/>
              </w:tabs>
              <w:snapToGrid w:val="0"/>
              <w:spacing w:line="360" w:lineRule="auto"/>
              <w:jc w:val="center"/>
              <w:rPr>
                <w:rFonts w:hint="eastAsia" w:ascii="仿宋" w:hAnsi="仿宋" w:eastAsia="仿宋"/>
                <w:sz w:val="22"/>
                <w:szCs w:val="21"/>
                <w:highlight w:val="none"/>
                <w:lang w:val="en-US" w:eastAsia="zh-CN"/>
              </w:rPr>
            </w:pPr>
            <w:r>
              <w:rPr>
                <w:rFonts w:hint="eastAsia" w:ascii="仿宋" w:hAnsi="仿宋" w:eastAsia="仿宋"/>
                <w:sz w:val="22"/>
                <w:szCs w:val="21"/>
                <w:highlight w:val="none"/>
                <w:lang w:val="en-US" w:eastAsia="zh-CN"/>
              </w:rPr>
              <w:t>5</w:t>
            </w:r>
          </w:p>
        </w:tc>
        <w:tc>
          <w:tcPr>
            <w:tcW w:w="866" w:type="pct"/>
            <w:noWrap w:val="0"/>
            <w:vAlign w:val="center"/>
          </w:tcPr>
          <w:p w14:paraId="5F5AEBD9">
            <w:pPr>
              <w:spacing w:line="360" w:lineRule="auto"/>
              <w:jc w:val="center"/>
              <w:rPr>
                <w:rFonts w:hint="eastAsia" w:ascii="仿宋" w:hAnsi="仿宋" w:eastAsia="仿宋" w:cs="Times New Roman"/>
                <w:sz w:val="22"/>
                <w:szCs w:val="21"/>
                <w:highlight w:val="none"/>
                <w:lang w:val="en-US" w:eastAsia="zh-CN"/>
              </w:rPr>
            </w:pPr>
            <w:r>
              <w:rPr>
                <w:rFonts w:hint="eastAsia" w:ascii="仿宋" w:hAnsi="仿宋" w:eastAsia="仿宋" w:cs="Times New Roman"/>
                <w:sz w:val="22"/>
                <w:szCs w:val="21"/>
                <w:highlight w:val="none"/>
                <w:lang w:val="en-US" w:eastAsia="zh-CN"/>
              </w:rPr>
              <w:t>实际执行单位资质要求（投标阶段提供）</w:t>
            </w:r>
          </w:p>
        </w:tc>
        <w:tc>
          <w:tcPr>
            <w:tcW w:w="3616" w:type="pct"/>
            <w:noWrap w:val="0"/>
            <w:vAlign w:val="center"/>
          </w:tcPr>
          <w:p w14:paraId="164BB945">
            <w:pPr>
              <w:widowControl/>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设计及施工允许分包，实际执行的设计单位须具备建筑工程设计乙级及以上资质，实际执行的施工单位须具备建筑工程施工总承包三级及以上资质，以上资质须在投标阶段提报并经招标人审核。</w:t>
            </w:r>
          </w:p>
        </w:tc>
      </w:tr>
      <w:tr w14:paraId="0E3A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noWrap w:val="0"/>
            <w:vAlign w:val="center"/>
          </w:tcPr>
          <w:p w14:paraId="1A2F1234">
            <w:pPr>
              <w:tabs>
                <w:tab w:val="center" w:pos="4153"/>
                <w:tab w:val="right" w:pos="8306"/>
              </w:tabs>
              <w:snapToGrid w:val="0"/>
              <w:spacing w:line="360" w:lineRule="auto"/>
              <w:jc w:val="center"/>
              <w:rPr>
                <w:rFonts w:hint="eastAsia" w:ascii="仿宋" w:hAnsi="仿宋" w:eastAsia="仿宋"/>
                <w:sz w:val="22"/>
                <w:szCs w:val="21"/>
                <w:highlight w:val="none"/>
                <w:lang w:val="en-US" w:eastAsia="zh-CN"/>
              </w:rPr>
            </w:pPr>
            <w:r>
              <w:rPr>
                <w:rFonts w:hint="eastAsia" w:ascii="仿宋" w:hAnsi="仿宋" w:eastAsia="仿宋"/>
                <w:sz w:val="22"/>
                <w:szCs w:val="21"/>
                <w:highlight w:val="none"/>
                <w:lang w:val="en-US" w:eastAsia="zh-CN"/>
              </w:rPr>
              <w:t>6</w:t>
            </w:r>
          </w:p>
        </w:tc>
        <w:tc>
          <w:tcPr>
            <w:tcW w:w="866" w:type="pct"/>
            <w:noWrap w:val="0"/>
            <w:vAlign w:val="center"/>
          </w:tcPr>
          <w:p w14:paraId="1F37BB8C">
            <w:pPr>
              <w:spacing w:line="360" w:lineRule="auto"/>
              <w:jc w:val="center"/>
              <w:rPr>
                <w:rFonts w:hint="eastAsia" w:ascii="仿宋" w:hAnsi="仿宋" w:eastAsia="仿宋" w:cs="Times New Roman"/>
                <w:sz w:val="22"/>
                <w:szCs w:val="21"/>
                <w:highlight w:val="none"/>
                <w:lang w:val="en-US" w:eastAsia="zh-CN"/>
              </w:rPr>
            </w:pPr>
            <w:r>
              <w:rPr>
                <w:rFonts w:hint="eastAsia" w:ascii="仿宋" w:hAnsi="仿宋" w:eastAsia="仿宋" w:cs="Times New Roman"/>
                <w:sz w:val="22"/>
                <w:szCs w:val="21"/>
                <w:highlight w:val="none"/>
                <w:lang w:val="en-US" w:eastAsia="zh-CN"/>
              </w:rPr>
              <w:t>实际执行单位人员要求（投标阶段提供）</w:t>
            </w:r>
          </w:p>
        </w:tc>
        <w:tc>
          <w:tcPr>
            <w:tcW w:w="3616" w:type="pct"/>
            <w:noWrap w:val="0"/>
            <w:vAlign w:val="center"/>
          </w:tcPr>
          <w:p w14:paraId="2706E18C">
            <w:pPr>
              <w:widowControl/>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设计及施工允许分包，实际执行的设计负责人具备中级及以上职称，提供实际执行单位为其购买近6个月及以上的社保证明；实际执行的项目经理具备二级建造师及以上资质，提供2020年1月1日至今担任项目经理的类似业绩至少1例。提供实际执行单位为其购买近6个月及以上的社保证明。</w:t>
            </w:r>
          </w:p>
        </w:tc>
      </w:tr>
      <w:tr w14:paraId="3581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noWrap w:val="0"/>
            <w:vAlign w:val="center"/>
          </w:tcPr>
          <w:p w14:paraId="19AC6596">
            <w:pPr>
              <w:tabs>
                <w:tab w:val="center" w:pos="4153"/>
                <w:tab w:val="right" w:pos="8306"/>
              </w:tabs>
              <w:snapToGrid w:val="0"/>
              <w:spacing w:line="360" w:lineRule="auto"/>
              <w:jc w:val="center"/>
              <w:rPr>
                <w:rFonts w:hint="eastAsia" w:ascii="仿宋" w:hAnsi="仿宋" w:eastAsia="仿宋"/>
                <w:sz w:val="22"/>
                <w:szCs w:val="21"/>
                <w:highlight w:val="none"/>
                <w:lang w:eastAsia="zh-CN"/>
              </w:rPr>
            </w:pPr>
            <w:r>
              <w:rPr>
                <w:rFonts w:hint="eastAsia" w:ascii="仿宋" w:hAnsi="仿宋" w:eastAsia="仿宋"/>
                <w:sz w:val="22"/>
                <w:szCs w:val="21"/>
                <w:highlight w:val="none"/>
                <w:lang w:val="en-US" w:eastAsia="zh-CN"/>
              </w:rPr>
              <w:t>7</w:t>
            </w:r>
          </w:p>
        </w:tc>
        <w:tc>
          <w:tcPr>
            <w:tcW w:w="866" w:type="pct"/>
            <w:noWrap w:val="0"/>
            <w:vAlign w:val="center"/>
          </w:tcPr>
          <w:p w14:paraId="0499CFA2">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6" w:type="pct"/>
            <w:noWrap w:val="0"/>
            <w:vAlign w:val="center"/>
          </w:tcPr>
          <w:p w14:paraId="7685E650">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6C378B93">
      <w:pPr>
        <w:rPr>
          <w:sz w:val="20"/>
          <w:szCs w:val="21"/>
          <w:highlight w:val="none"/>
        </w:rPr>
      </w:pPr>
    </w:p>
    <w:bookmarkEnd w:id="62"/>
    <w:p w14:paraId="6FBEEA77">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2DED552C">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4392D3C8">
      <w:pPr>
        <w:spacing w:line="360" w:lineRule="auto"/>
        <w:ind w:left="424" w:leftChars="202"/>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67C0623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mNjQyMWJjY2U5ZTIxZmU0OWMxYThhNjg1ZmE5NWUifQ=="/>
  </w:docVars>
  <w:rsids>
    <w:rsidRoot w:val="00000000"/>
    <w:rsid w:val="2355143D"/>
    <w:rsid w:val="25BD0C9E"/>
    <w:rsid w:val="29E452C9"/>
    <w:rsid w:val="40C215A7"/>
    <w:rsid w:val="4A643210"/>
    <w:rsid w:val="68D75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spacing w:before="260" w:after="260" w:line="413" w:lineRule="auto"/>
      <w:jc w:val="center"/>
      <w:outlineLvl w:val="1"/>
    </w:pPr>
    <w:rPr>
      <w:rFonts w:ascii="Arial" w:hAnsi="Arial" w:eastAsia="微软雅黑"/>
      <w:b/>
      <w:kern w:val="0"/>
      <w:sz w:val="32"/>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rPr>
      <w:rFonts w:ascii="宋体" w:hAnsi="Courier New"/>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2555</Words>
  <Characters>2842</Characters>
  <Lines>0</Lines>
  <Paragraphs>0</Paragraphs>
  <TotalTime>4</TotalTime>
  <ScaleCrop>false</ScaleCrop>
  <LinksUpToDate>false</LinksUpToDate>
  <CharactersWithSpaces>2871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2024-11-05T01:29:00Z</dcterms:created>
  <dc:creator>LZ</dc:creator>
  <cp:lastModifiedBy>竹子</cp:lastModifiedBy>
  <dcterms:modified xsi:type="dcterms:W3CDTF">2024-11-06T01:13:16Z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BC3F0893B6DD4EA793FEC79B7476F005_12</vt:lpwstr>
  </property>
</Properties>
</file>