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center"/>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eastAsia="zh-CN"/>
        </w:rPr>
        <w:t>2025年春糖及老酒节新媒体传播项目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057661F9">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0F42AD19">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_Toc7328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_Toc7328 \h </w:instrText>
          </w:r>
          <w:r>
            <w:fldChar w:fldCharType="separate"/>
          </w:r>
          <w:r>
            <w:t>1</w:t>
          </w:r>
          <w:r>
            <w:fldChar w:fldCharType="end"/>
          </w:r>
          <w:r>
            <w:rPr>
              <w:rFonts w:hint="eastAsia" w:ascii="仿宋" w:hAnsi="仿宋" w:cs="仿宋"/>
              <w:bCs/>
              <w:szCs w:val="28"/>
            </w:rPr>
            <w:fldChar w:fldCharType="end"/>
          </w:r>
        </w:p>
        <w:p w14:paraId="777191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_Toc24040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_Toc24040 \h </w:instrText>
          </w:r>
          <w:r>
            <w:fldChar w:fldCharType="separate"/>
          </w:r>
          <w:r>
            <w:t>2</w:t>
          </w:r>
          <w:r>
            <w:fldChar w:fldCharType="end"/>
          </w:r>
          <w:r>
            <w:rPr>
              <w:rFonts w:hint="eastAsia" w:ascii="仿宋" w:hAnsi="仿宋" w:cs="仿宋"/>
              <w:szCs w:val="28"/>
            </w:rPr>
            <w:fldChar w:fldCharType="end"/>
          </w:r>
        </w:p>
        <w:p w14:paraId="47E198E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_Toc19847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_Toc19847 \h </w:instrText>
          </w:r>
          <w:r>
            <w:fldChar w:fldCharType="separate"/>
          </w:r>
          <w:r>
            <w:t>2</w:t>
          </w:r>
          <w:r>
            <w:fldChar w:fldCharType="end"/>
          </w:r>
          <w:r>
            <w:rPr>
              <w:rFonts w:hint="eastAsia" w:ascii="仿宋" w:hAnsi="仿宋" w:cs="仿宋"/>
              <w:szCs w:val="28"/>
            </w:rPr>
            <w:fldChar w:fldCharType="end"/>
          </w:r>
        </w:p>
        <w:p w14:paraId="421204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_Toc54 \h </w:instrText>
          </w:r>
          <w:r>
            <w:fldChar w:fldCharType="separate"/>
          </w:r>
          <w:r>
            <w:t>3</w:t>
          </w:r>
          <w:r>
            <w:fldChar w:fldCharType="end"/>
          </w:r>
          <w:r>
            <w:rPr>
              <w:rFonts w:hint="eastAsia" w:ascii="仿宋" w:hAnsi="仿宋" w:cs="仿宋"/>
              <w:szCs w:val="28"/>
            </w:rPr>
            <w:fldChar w:fldCharType="end"/>
          </w:r>
        </w:p>
        <w:p w14:paraId="768AEC8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_Toc20402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_Toc20402 \h </w:instrText>
          </w:r>
          <w:r>
            <w:fldChar w:fldCharType="separate"/>
          </w:r>
          <w:r>
            <w:t>3</w:t>
          </w:r>
          <w:r>
            <w:fldChar w:fldCharType="end"/>
          </w:r>
          <w:r>
            <w:rPr>
              <w:rFonts w:hint="eastAsia" w:ascii="仿宋" w:hAnsi="仿宋" w:cs="仿宋"/>
              <w:szCs w:val="28"/>
            </w:rPr>
            <w:fldChar w:fldCharType="end"/>
          </w:r>
        </w:p>
        <w:p w14:paraId="34A1270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_Toc9749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_Toc9749 \h </w:instrText>
          </w:r>
          <w:r>
            <w:fldChar w:fldCharType="separate"/>
          </w:r>
          <w:r>
            <w:t>4</w:t>
          </w:r>
          <w:r>
            <w:fldChar w:fldCharType="end"/>
          </w:r>
          <w:r>
            <w:rPr>
              <w:rFonts w:hint="eastAsia" w:ascii="仿宋" w:hAnsi="仿宋" w:cs="仿宋"/>
              <w:szCs w:val="28"/>
            </w:rPr>
            <w:fldChar w:fldCharType="end"/>
          </w:r>
        </w:p>
        <w:p w14:paraId="0411D4C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_Toc8724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_Toc8724 \h </w:instrText>
          </w:r>
          <w:r>
            <w:fldChar w:fldCharType="separate"/>
          </w:r>
          <w:r>
            <w:t>5</w:t>
          </w:r>
          <w:r>
            <w:fldChar w:fldCharType="end"/>
          </w:r>
          <w:r>
            <w:rPr>
              <w:rFonts w:hint="eastAsia" w:ascii="仿宋" w:hAnsi="仿宋" w:cs="仿宋"/>
              <w:szCs w:val="28"/>
            </w:rPr>
            <w:fldChar w:fldCharType="end"/>
          </w:r>
        </w:p>
        <w:p w14:paraId="0DC3829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_Toc1933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_Toc1933 \h </w:instrText>
          </w:r>
          <w:r>
            <w:fldChar w:fldCharType="separate"/>
          </w:r>
          <w:r>
            <w:t>7</w:t>
          </w:r>
          <w:r>
            <w:fldChar w:fldCharType="end"/>
          </w:r>
          <w:r>
            <w:rPr>
              <w:rFonts w:hint="eastAsia" w:ascii="仿宋" w:hAnsi="仿宋" w:cs="仿宋"/>
              <w:szCs w:val="28"/>
            </w:rPr>
            <w:fldChar w:fldCharType="end"/>
          </w:r>
        </w:p>
        <w:p w14:paraId="039521D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_Toc1524 \h </w:instrText>
          </w:r>
          <w:r>
            <w:fldChar w:fldCharType="separate"/>
          </w:r>
          <w:r>
            <w:t>7</w:t>
          </w:r>
          <w:r>
            <w:fldChar w:fldCharType="end"/>
          </w:r>
          <w:r>
            <w:rPr>
              <w:rFonts w:hint="eastAsia" w:ascii="仿宋" w:hAnsi="仿宋" w:cs="仿宋"/>
              <w:szCs w:val="28"/>
            </w:rPr>
            <w:fldChar w:fldCharType="end"/>
          </w:r>
        </w:p>
        <w:p w14:paraId="57FD8A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_Toc3259 \h </w:instrText>
          </w:r>
          <w:r>
            <w:fldChar w:fldCharType="separate"/>
          </w:r>
          <w:r>
            <w:t>7</w:t>
          </w:r>
          <w:r>
            <w:fldChar w:fldCharType="end"/>
          </w:r>
          <w:r>
            <w:rPr>
              <w:rFonts w:hint="eastAsia" w:ascii="仿宋" w:hAnsi="仿宋" w:cs="仿宋"/>
              <w:szCs w:val="28"/>
            </w:rPr>
            <w:fldChar w:fldCharType="end"/>
          </w:r>
        </w:p>
        <w:p w14:paraId="48E436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_Toc1823 \h </w:instrText>
          </w:r>
          <w:r>
            <w:fldChar w:fldCharType="separate"/>
          </w:r>
          <w:r>
            <w:t>7</w:t>
          </w:r>
          <w:r>
            <w:fldChar w:fldCharType="end"/>
          </w:r>
          <w:r>
            <w:rPr>
              <w:rFonts w:hint="eastAsia" w:ascii="仿宋" w:hAnsi="仿宋" w:cs="仿宋"/>
              <w:szCs w:val="28"/>
            </w:rPr>
            <w:fldChar w:fldCharType="end"/>
          </w:r>
          <w:bookmarkStart w:id="16" w:name="_GoBack"/>
          <w:bookmarkEnd w:id="16"/>
        </w:p>
        <w:p w14:paraId="5B11FC9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_Toc28091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_Toc28091 \h </w:instrText>
          </w:r>
          <w:r>
            <w:fldChar w:fldCharType="separate"/>
          </w:r>
          <w:r>
            <w:t>8</w:t>
          </w:r>
          <w:r>
            <w:fldChar w:fldCharType="end"/>
          </w:r>
          <w:r>
            <w:rPr>
              <w:rFonts w:hint="eastAsia" w:ascii="仿宋" w:hAnsi="仿宋" w:cs="仿宋"/>
              <w:szCs w:val="28"/>
            </w:rPr>
            <w:fldChar w:fldCharType="end"/>
          </w:r>
        </w:p>
        <w:p w14:paraId="0935B17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_Toc29374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_Toc29374 \h </w:instrText>
          </w:r>
          <w:r>
            <w:fldChar w:fldCharType="separate"/>
          </w:r>
          <w:r>
            <w:t>8</w:t>
          </w:r>
          <w:r>
            <w:fldChar w:fldCharType="end"/>
          </w:r>
          <w:r>
            <w:rPr>
              <w:rFonts w:hint="eastAsia" w:ascii="仿宋" w:hAnsi="仿宋" w:cs="仿宋"/>
              <w:szCs w:val="28"/>
            </w:rPr>
            <w:fldChar w:fldCharType="end"/>
          </w:r>
        </w:p>
        <w:p w14:paraId="5CC7E74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_Toc19109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_Toc19109 \h </w:instrText>
          </w:r>
          <w:r>
            <w:fldChar w:fldCharType="separate"/>
          </w:r>
          <w:r>
            <w:t>11</w:t>
          </w:r>
          <w:r>
            <w:fldChar w:fldCharType="end"/>
          </w:r>
          <w:r>
            <w:rPr>
              <w:rFonts w:hint="eastAsia" w:ascii="仿宋" w:hAnsi="仿宋" w:cs="仿宋"/>
              <w:szCs w:val="28"/>
            </w:rPr>
            <w:fldChar w:fldCharType="end"/>
          </w:r>
        </w:p>
        <w:p w14:paraId="0230B4E7">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7328"/>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404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984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2025年春糖及老酒节新媒体传播项目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54"/>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0402"/>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2025年春糖及老酒节新媒体传播项目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、分包、转包、联合体</w:t>
      </w:r>
      <w:r>
        <w:rPr>
          <w:rFonts w:hint="eastAsia" w:ascii="仿宋" w:hAnsi="仿宋" w:eastAsia="仿宋"/>
          <w:u w:val="single"/>
        </w:rPr>
        <w:t>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974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8724"/>
      <w:r>
        <w:rPr>
          <w:rFonts w:hint="eastAsia" w:ascii="仿宋" w:hAnsi="仿宋"/>
          <w:lang w:bidi="en-US"/>
        </w:rPr>
        <w:t>复星廉洁自律承诺书</w:t>
      </w:r>
      <w:bookmarkEnd w:id="6"/>
      <w:r>
        <w:rPr>
          <w:rFonts w:hint="eastAsia" w:ascii="仿宋" w:hAnsi="仿宋"/>
          <w:lang w:bidi="en-US"/>
        </w:rPr>
        <w:t xml:space="preserve"> </w:t>
      </w:r>
    </w:p>
    <w:p w14:paraId="68B1986A">
      <w:pPr>
        <w:tabs>
          <w:tab w:val="left" w:pos="540"/>
        </w:tabs>
        <w:adjustRightInd w:val="0"/>
        <w:snapToGrid w:val="0"/>
        <w:spacing w:line="460" w:lineRule="exact"/>
        <w:ind w:firstLine="482" w:firstLineChars="200"/>
        <w:jc w:val="center"/>
        <w:rPr>
          <w:rFonts w:hint="eastAsia" w:ascii="仿宋" w:hAnsi="仿宋" w:eastAsia="仿宋" w:cs="仿宋"/>
          <w:b/>
          <w:bCs/>
          <w:sz w:val="24"/>
        </w:rPr>
      </w:pPr>
      <w:r>
        <w:rPr>
          <w:rFonts w:hint="eastAsia" w:ascii="仿宋" w:hAnsi="仿宋" w:eastAsia="仿宋" w:cs="仿宋"/>
          <w:b/>
          <w:bCs/>
          <w:sz w:val="24"/>
        </w:rPr>
        <w:t>供应商廉洁自律承诺书</w:t>
      </w:r>
    </w:p>
    <w:p w14:paraId="003107C2">
      <w:pPr>
        <w:tabs>
          <w:tab w:val="left" w:pos="540"/>
        </w:tabs>
        <w:adjustRightInd w:val="0"/>
        <w:snapToGrid w:val="0"/>
        <w:spacing w:line="460" w:lineRule="exact"/>
        <w:ind w:firstLine="480" w:firstLineChars="200"/>
        <w:rPr>
          <w:rFonts w:hint="eastAsia" w:ascii="仿宋" w:hAnsi="仿宋" w:eastAsia="仿宋" w:cs="仿宋"/>
          <w:sz w:val="24"/>
        </w:rPr>
      </w:pPr>
    </w:p>
    <w:p w14:paraId="74034A81">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本公司承诺遵守复星集团相关采购纪律和工作流程，确保采购招投标活动规范与廉洁。 </w:t>
      </w:r>
    </w:p>
    <w:p w14:paraId="3D4E3D70">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本公司确认知晓：经查实存在以下情形和行为的企业，将按照情节严重程度，受到警告、禁入、永久禁入等惩罚。同时复星集团会将该等事项如实披露给复星集团关联企业。 </w:t>
      </w:r>
    </w:p>
    <w:p w14:paraId="7D97BC3D">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列入黑名单供应商名册的情形和行为包括但不限于： </w:t>
      </w:r>
    </w:p>
    <w:p w14:paraId="411D6619">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 在采购响应文件有效期内擅自撤销采购响应文件的，或扰乱开标、评审现场，影响采购活动进行的。 </w:t>
      </w:r>
    </w:p>
    <w:p w14:paraId="1FE2A354">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 参与招标项目，无正当理由中途退出投标 1 次以上(含 1 次)的。 </w:t>
      </w:r>
    </w:p>
    <w:p w14:paraId="54A0839D">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3. 参与招标项目，一年内因未实质性响应招标文件合格投标人资质要求，被废标 2 次以上（含 2 次）的。 </w:t>
      </w:r>
    </w:p>
    <w:p w14:paraId="2CE5FD6C">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4. 合同磋商时不能有效兑现采购响应文件和评审时的承诺的。 </w:t>
      </w:r>
    </w:p>
    <w:p w14:paraId="0E37D47B">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5. 因供应商原因，一年内 2 次以上（含 2 次）超过公司规定时间 5 天以上（含5天）30天以内签署合同，但未影响公司项目实施的。 </w:t>
      </w:r>
    </w:p>
    <w:p w14:paraId="0EDF27A9">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6.一年内或合同期内未按照合同约定如期交货、未按时提供服务或拖延工期 2次以上（含 2 次），但未影响项目整体执行的。 </w:t>
      </w:r>
    </w:p>
    <w:p w14:paraId="220141FB">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7. 发生经营状况重大变化、重大合同纠纷或诉讼、信用等级和资质变化等可能影响履约能力的重大事项，未及时向公司反映并提供书面报告的。 </w:t>
      </w:r>
    </w:p>
    <w:p w14:paraId="254D0DE1">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8. 在招标过程中，提供虚假材料的。 </w:t>
      </w:r>
    </w:p>
    <w:p w14:paraId="181A4676">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9. 参与招标项目，无正当理由中途退出投标 2 次以上（含 2 次）的。 </w:t>
      </w:r>
    </w:p>
    <w:p w14:paraId="430DC88D">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10.参与公司采购活动时存在围标串标行为的。 </w:t>
      </w:r>
    </w:p>
    <w:p w14:paraId="02D39F18">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11.参与公司采购活动时存在挂靠行为或关联方重复投标的。 </w:t>
      </w:r>
    </w:p>
    <w:p w14:paraId="0B8B1558">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12.采取诋毁、排挤其他供应商等不正当手段谋取中标、成交的。 </w:t>
      </w:r>
    </w:p>
    <w:p w14:paraId="71BE783B">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13.在采购组织实施过程中，泄露应当保密的与评审活动有关的信息的。 </w:t>
      </w:r>
    </w:p>
    <w:p w14:paraId="33176729">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14.报价不实、低价位承诺未兑现。 </w:t>
      </w:r>
    </w:p>
    <w:p w14:paraId="23DD64A4">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15.因供应商原因，在发出中标、成交通知书后超过 30 天未与公司签署合同，或虽在 30 天内，但对公司项目实施产生较大影响的。 </w:t>
      </w:r>
    </w:p>
    <w:p w14:paraId="7F6AABC2">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16.中标后放弃中标、成交资格，或拒绝签订采购合同的。 </w:t>
      </w:r>
    </w:p>
    <w:p w14:paraId="3A4C3CEB">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17.招标项目合同签署过程中，坚持要求修改合同实质性内容的。 </w:t>
      </w:r>
    </w:p>
    <w:p w14:paraId="19C9DE90">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18.未按照合同约定如期交货、未按时提供服务或拖延工期，且影响到项目整体执行的。 </w:t>
      </w:r>
    </w:p>
    <w:p w14:paraId="77E18C4D">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19.提供假冒伪劣产品、走私物品的，以次冲好、以假冲真或未按照合同约定的质量标准和要求提供货物或服务，且影响到项目整体执行的。 </w:t>
      </w:r>
    </w:p>
    <w:p w14:paraId="22D06162">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20.无正当理由拒绝履行合同和有关承诺，擅自变更、中止（终止）采购合同的。 </w:t>
      </w:r>
    </w:p>
    <w:p w14:paraId="2F34A65F">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21.因供应商原因导致第三方向公司提起诉讼或其他权利主张的。 </w:t>
      </w:r>
    </w:p>
    <w:p w14:paraId="11DF6614">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22.在合同履约过程中提供虚假原厂商下单证明、虚假发票等伪造材料的。 </w:t>
      </w:r>
    </w:p>
    <w:p w14:paraId="425BBF65">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23.向招标代理机构、公司相关人员、评审小组成员行贿或者提供其他不正当利益谋取中标、成交的。 </w:t>
      </w:r>
    </w:p>
    <w:p w14:paraId="54CA4D06">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24.出让或出租资格、资质证书供他人用于响应采购活动的。 </w:t>
      </w:r>
    </w:p>
    <w:p w14:paraId="6FF9B605">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25.未按合同约定泄露我司商业、技术秘密或侵犯公司知识产权，并造成严重后果的。 </w:t>
      </w:r>
    </w:p>
    <w:p w14:paraId="59C8CBA9">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26.出现被政府主管部门禁入且在禁入期内的。 </w:t>
      </w:r>
    </w:p>
    <w:p w14:paraId="0739F754">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27.在采购实施或合同履约过程中出现的其他违反诚信或廉洁的行为。 </w:t>
      </w:r>
    </w:p>
    <w:p w14:paraId="55D1F854">
      <w:pPr>
        <w:tabs>
          <w:tab w:val="left" w:pos="540"/>
        </w:tabs>
        <w:adjustRightInd w:val="0"/>
        <w:snapToGrid w:val="0"/>
        <w:spacing w:line="460" w:lineRule="exact"/>
        <w:ind w:firstLine="480" w:firstLineChars="200"/>
        <w:rPr>
          <w:rFonts w:hint="eastAsia" w:ascii="仿宋" w:hAnsi="仿宋" w:eastAsia="仿宋" w:cs="仿宋"/>
          <w:sz w:val="24"/>
        </w:rPr>
      </w:pPr>
    </w:p>
    <w:p w14:paraId="73308BCC">
      <w:pPr>
        <w:tabs>
          <w:tab w:val="left" w:pos="540"/>
        </w:tabs>
        <w:adjustRightInd w:val="0"/>
        <w:snapToGrid w:val="0"/>
        <w:spacing w:line="460" w:lineRule="exact"/>
        <w:rPr>
          <w:rFonts w:hint="eastAsia" w:ascii="仿宋" w:hAnsi="仿宋" w:eastAsia="仿宋" w:cs="仿宋"/>
          <w:b/>
          <w:bCs/>
          <w:sz w:val="24"/>
        </w:rPr>
      </w:pPr>
      <w:r>
        <w:rPr>
          <w:rFonts w:hint="eastAsia" w:ascii="仿宋" w:hAnsi="仿宋" w:eastAsia="仿宋" w:cs="仿宋"/>
          <w:b/>
          <w:bCs/>
          <w:sz w:val="24"/>
        </w:rPr>
        <w:t xml:space="preserve">以上条款，若有违反任意一条，本公司自愿接受相应处罚，特此声明！ </w:t>
      </w:r>
    </w:p>
    <w:p w14:paraId="287016C9">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公司（公章）： </w:t>
      </w:r>
    </w:p>
    <w:p w14:paraId="6F26D24A">
      <w:pPr>
        <w:tabs>
          <w:tab w:val="left" w:pos="540"/>
        </w:tabs>
        <w:adjustRightInd w:val="0"/>
        <w:snapToGrid w:val="0"/>
        <w:spacing w:line="460" w:lineRule="exact"/>
        <w:rPr>
          <w:rFonts w:hint="eastAsia" w:ascii="仿宋" w:hAnsi="仿宋" w:eastAsia="仿宋" w:cs="仿宋"/>
          <w:sz w:val="24"/>
        </w:rPr>
      </w:pPr>
      <w:r>
        <w:rPr>
          <w:rFonts w:hint="eastAsia" w:ascii="仿宋" w:hAnsi="仿宋" w:eastAsia="仿宋" w:cs="仿宋"/>
          <w:sz w:val="24"/>
        </w:rPr>
        <w:t xml:space="preserve">年   月    日 </w:t>
      </w:r>
    </w:p>
    <w:p w14:paraId="3F5E66B5"/>
    <w:p w14:paraId="2396F11E">
      <w:pPr>
        <w:pStyle w:val="2"/>
        <w:numPr>
          <w:ilvl w:val="0"/>
          <w:numId w:val="1"/>
        </w:numPr>
        <w:rPr>
          <w:rFonts w:hint="eastAsia" w:ascii="仿宋" w:hAnsi="仿宋"/>
          <w:lang w:bidi="en-US"/>
        </w:rPr>
      </w:pPr>
      <w:bookmarkStart w:id="7" w:name="_Toc1933"/>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524"/>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56EE0F43">
      <w:pPr>
        <w:pStyle w:val="2"/>
        <w:numPr>
          <w:ilvl w:val="0"/>
          <w:numId w:val="1"/>
        </w:numPr>
        <w:rPr>
          <w:rFonts w:hint="eastAsia" w:ascii="仿宋" w:hAnsi="仿宋"/>
        </w:rPr>
      </w:pPr>
      <w:bookmarkStart w:id="9" w:name="_Toc3259"/>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823"/>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8091"/>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2" w:name="_Toc29374"/>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9109"/>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7A91465"/>
    <w:rsid w:val="2B3E5046"/>
    <w:rsid w:val="2C9850A2"/>
    <w:rsid w:val="3339511F"/>
    <w:rsid w:val="339064C8"/>
    <w:rsid w:val="34433534"/>
    <w:rsid w:val="392E5B95"/>
    <w:rsid w:val="393D67A4"/>
    <w:rsid w:val="3FDA2F9E"/>
    <w:rsid w:val="42F46C23"/>
    <w:rsid w:val="45990AD9"/>
    <w:rsid w:val="489B00C6"/>
    <w:rsid w:val="4D273B65"/>
    <w:rsid w:val="4FEA0D4D"/>
    <w:rsid w:val="52493BA6"/>
    <w:rsid w:val="53D93AD8"/>
    <w:rsid w:val="5930539F"/>
    <w:rsid w:val="598F04FE"/>
    <w:rsid w:val="5F954E73"/>
    <w:rsid w:val="60CC76B7"/>
    <w:rsid w:val="61FC06FB"/>
    <w:rsid w:val="62D84CC4"/>
    <w:rsid w:val="638B3098"/>
    <w:rsid w:val="63927568"/>
    <w:rsid w:val="64464D34"/>
    <w:rsid w:val="64F97173"/>
    <w:rsid w:val="66A8320C"/>
    <w:rsid w:val="66D502BD"/>
    <w:rsid w:val="67E44E5F"/>
    <w:rsid w:val="6EF03EAC"/>
    <w:rsid w:val="6FB67EB6"/>
    <w:rsid w:val="7284611B"/>
    <w:rsid w:val="754576A5"/>
    <w:rsid w:val="75E579CC"/>
    <w:rsid w:val="7671300D"/>
    <w:rsid w:val="772B58B2"/>
    <w:rsid w:val="77AD01BE"/>
    <w:rsid w:val="783A18D6"/>
    <w:rsid w:val="79F74EBF"/>
    <w:rsid w:val="7B556CD1"/>
    <w:rsid w:val="7D6E130F"/>
    <w:rsid w:val="7F0B6A5D"/>
    <w:rsid w:val="7F7A7AB2"/>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5241</Words>
  <Characters>5349</Characters>
  <Lines>52</Lines>
  <Paragraphs>14</Paragraphs>
  <TotalTime>0</TotalTime>
  <ScaleCrop>false</ScaleCrop>
  <LinksUpToDate>false</LinksUpToDate>
  <CharactersWithSpaces>5944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2025-01-22T07:03:16Z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25C9849677524E4D8398DC77F643508C_13</vt:lpwstr>
  </property>
  <property fmtid="{D5CDD505-2E9C-101B-9397-08002B2CF9AE}" pid="4" name="KSOTemplateDocerSaveRecord">
    <vt:lpwstr>eyJoZGlkIjoiOTViNjkyMDQ5MmI4MWYzYWFjMDc2NWVkMjVlODFjYzkiLCJ1c2VySWQiOiI1ODkwMjY4NzMifQ==</vt:lpwstr>
  </property>
</Properties>
</file>