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7A65C">
      <w:pPr>
        <w:adjustRightInd w:val="0"/>
        <w:snapToGrid w:val="0"/>
        <w:spacing w:line="360" w:lineRule="auto"/>
        <w:ind w:firstLine="562"/>
        <w:jc w:val="center"/>
        <w:rPr>
          <w:rFonts w:hint="eastAsia" w:ascii="仿宋" w:hAnsi="仿宋" w:eastAsia="仿宋"/>
          <w:b/>
          <w:sz w:val="28"/>
          <w:szCs w:val="28"/>
        </w:rPr>
      </w:pPr>
      <w:r>
        <w:rPr>
          <w:rFonts w:hint="eastAsia" w:ascii="仿宋" w:hAnsi="仿宋" w:eastAsia="仿宋"/>
          <w:b/>
          <w:sz w:val="28"/>
          <w:szCs w:val="28"/>
        </w:rPr>
        <w:t>四川沱牌舍得营销有限公司</w:t>
      </w:r>
    </w:p>
    <w:p w14:paraId="2455D64A">
      <w:pPr>
        <w:adjustRightInd w:val="0"/>
        <w:snapToGrid w:val="0"/>
        <w:spacing w:line="360" w:lineRule="auto"/>
        <w:jc w:val="center"/>
        <w:rPr>
          <w:rFonts w:hint="default" w:ascii="仿宋" w:hAnsi="仿宋" w:eastAsia="仿宋"/>
          <w:bCs/>
          <w:sz w:val="28"/>
          <w:szCs w:val="28"/>
          <w:lang w:val="en-US" w:eastAsia="zh-CN"/>
        </w:rPr>
      </w:pPr>
      <w:r>
        <w:rPr>
          <w:rFonts w:hint="eastAsia" w:ascii="仿宋" w:hAnsi="仿宋" w:eastAsia="仿宋"/>
          <w:bCs/>
          <w:sz w:val="28"/>
          <w:szCs w:val="28"/>
          <w:lang w:eastAsia="zh-CN"/>
        </w:rPr>
        <w:t>2025年春糖户外广告投放项目</w:t>
      </w:r>
      <w:r>
        <w:rPr>
          <w:rFonts w:hint="eastAsia"/>
          <w:bCs/>
          <w:sz w:val="28"/>
          <w:szCs w:val="28"/>
          <w:lang w:val="en-US" w:eastAsia="zh-CN"/>
        </w:rPr>
        <w:t>招标公告</w:t>
      </w:r>
    </w:p>
    <w:p w14:paraId="0C0A9793">
      <w:pPr>
        <w:adjustRightInd w:val="0"/>
        <w:snapToGrid w:val="0"/>
        <w:spacing w:line="360" w:lineRule="auto"/>
        <w:jc w:val="center"/>
        <w:rPr>
          <w:rFonts w:hint="default" w:ascii="仿宋" w:hAnsi="仿宋" w:eastAsia="仿宋"/>
          <w:sz w:val="28"/>
          <w:szCs w:val="28"/>
          <w:lang w:val="en-US" w:eastAsia="zh-CN"/>
        </w:rPr>
      </w:pPr>
      <w:r>
        <w:rPr>
          <w:rFonts w:hint="eastAsia" w:ascii="仿宋" w:hAnsi="仿宋" w:eastAsia="仿宋"/>
          <w:sz w:val="28"/>
          <w:szCs w:val="28"/>
        </w:rPr>
        <w:t>舍司招（</w:t>
      </w:r>
      <w:r>
        <w:rPr>
          <w:rFonts w:ascii="仿宋" w:hAnsi="仿宋" w:eastAsia="仿宋"/>
          <w:sz w:val="28"/>
          <w:szCs w:val="28"/>
        </w:rPr>
        <w:t>202</w:t>
      </w:r>
      <w:r>
        <w:rPr>
          <w:rFonts w:hint="eastAsia"/>
          <w:sz w:val="28"/>
          <w:szCs w:val="28"/>
          <w:lang w:val="en-US" w:eastAsia="zh-CN"/>
        </w:rPr>
        <w:t>5</w:t>
      </w:r>
      <w:r>
        <w:rPr>
          <w:rFonts w:ascii="仿宋" w:hAnsi="仿宋" w:eastAsia="仿宋"/>
          <w:sz w:val="28"/>
          <w:szCs w:val="28"/>
        </w:rPr>
        <w:t>)-ZC3-</w:t>
      </w:r>
      <w:r>
        <w:rPr>
          <w:rFonts w:hint="eastAsia" w:ascii="仿宋" w:hAnsi="仿宋" w:eastAsia="仿宋"/>
          <w:sz w:val="28"/>
          <w:szCs w:val="28"/>
          <w:lang w:val="en-US" w:eastAsia="zh-CN"/>
        </w:rPr>
        <w:t>06</w:t>
      </w:r>
    </w:p>
    <w:p w14:paraId="010D8D43">
      <w:pPr>
        <w:rPr>
          <w:rFonts w:hint="eastAsia"/>
          <w:sz w:val="30"/>
          <w:szCs w:val="30"/>
        </w:rPr>
      </w:pPr>
      <w:r>
        <w:rPr>
          <w:rFonts w:hint="eastAsia"/>
          <w:sz w:val="30"/>
          <w:szCs w:val="30"/>
        </w:rPr>
        <w:t>致各潜在投标人：</w:t>
      </w:r>
    </w:p>
    <w:p w14:paraId="7FF10533">
      <w:pPr>
        <w:rPr>
          <w:rFonts w:hint="eastAsia"/>
          <w:sz w:val="30"/>
          <w:szCs w:val="30"/>
        </w:rPr>
      </w:pPr>
      <w:r>
        <w:rPr>
          <w:rFonts w:hint="eastAsia"/>
          <w:sz w:val="30"/>
          <w:szCs w:val="30"/>
        </w:rPr>
        <w:t>为配合舍得酒业业务的需要，本公司需对</w:t>
      </w:r>
      <w:r>
        <w:rPr>
          <w:rFonts w:hint="eastAsia"/>
          <w:b/>
          <w:bCs/>
          <w:sz w:val="30"/>
          <w:szCs w:val="30"/>
          <w:u w:val="single"/>
          <w:lang w:eastAsia="zh-CN"/>
        </w:rPr>
        <w:t>2025年春糖户外广告投放项目</w:t>
      </w:r>
      <w:r>
        <w:rPr>
          <w:rFonts w:hint="eastAsia"/>
          <w:sz w:val="30"/>
          <w:szCs w:val="30"/>
        </w:rPr>
        <w:t>进行公开招标。</w:t>
      </w:r>
    </w:p>
    <w:p w14:paraId="5C6168C4">
      <w:pPr>
        <w:numPr>
          <w:ilvl w:val="255"/>
          <w:numId w:val="0"/>
        </w:numPr>
        <w:spacing w:line="360" w:lineRule="auto"/>
        <w:rPr>
          <w:rFonts w:hint="eastAsia" w:ascii="仿宋" w:hAnsi="仿宋" w:eastAsia="仿宋"/>
          <w:b/>
          <w:bCs/>
          <w:sz w:val="28"/>
          <w:szCs w:val="28"/>
        </w:rPr>
      </w:pPr>
      <w:r>
        <w:rPr>
          <w:rFonts w:hint="eastAsia" w:ascii="仿宋" w:hAnsi="仿宋" w:eastAsia="仿宋"/>
          <w:b/>
          <w:bCs/>
          <w:sz w:val="28"/>
          <w:szCs w:val="28"/>
        </w:rPr>
        <w:t>一、项目概述：</w:t>
      </w:r>
    </w:p>
    <w:p w14:paraId="3206CDCB">
      <w:pPr>
        <w:spacing w:line="360" w:lineRule="auto"/>
        <w:ind w:firstLine="280" w:firstLineChars="100"/>
        <w:rPr>
          <w:rFonts w:hint="eastAsia" w:ascii="仿宋" w:hAnsi="仿宋" w:eastAsia="仿宋"/>
          <w:sz w:val="28"/>
          <w:szCs w:val="28"/>
          <w:u w:val="single"/>
          <w:lang w:eastAsia="zh-CN"/>
        </w:rPr>
      </w:pPr>
      <w:r>
        <w:rPr>
          <w:rFonts w:hint="eastAsia" w:ascii="仿宋" w:hAnsi="仿宋" w:eastAsia="仿宋"/>
          <w:sz w:val="28"/>
          <w:szCs w:val="28"/>
        </w:rPr>
        <w:t>1.1项目名称：</w:t>
      </w:r>
      <w:r>
        <w:rPr>
          <w:rFonts w:hint="eastAsia" w:ascii="仿宋" w:hAnsi="仿宋" w:eastAsia="仿宋"/>
          <w:sz w:val="28"/>
          <w:szCs w:val="28"/>
          <w:u w:val="single"/>
          <w:lang w:eastAsia="zh-CN"/>
        </w:rPr>
        <w:t>2025年春糖户外广告投放项目</w:t>
      </w:r>
    </w:p>
    <w:p w14:paraId="4A11A0C3">
      <w:pPr>
        <w:spacing w:line="360" w:lineRule="auto"/>
        <w:ind w:firstLine="280" w:firstLineChars="100"/>
        <w:rPr>
          <w:rFonts w:hint="default" w:ascii="仿宋" w:hAnsi="仿宋" w:eastAsia="仿宋"/>
          <w:sz w:val="28"/>
          <w:szCs w:val="28"/>
          <w:lang w:val="en-US"/>
        </w:rPr>
      </w:pPr>
      <w:r>
        <w:rPr>
          <w:rFonts w:hint="eastAsia" w:ascii="仿宋" w:hAnsi="仿宋" w:eastAsia="仿宋"/>
          <w:sz w:val="28"/>
          <w:szCs w:val="28"/>
        </w:rPr>
        <w:t xml:space="preserve">1.2项目背景： </w:t>
      </w:r>
      <w:r>
        <w:rPr>
          <w:rFonts w:hint="eastAsia" w:ascii="仿宋" w:hAnsi="仿宋" w:eastAsia="仿宋"/>
          <w:sz w:val="28"/>
          <w:szCs w:val="28"/>
          <w:lang w:val="en-US" w:eastAsia="zh-CN"/>
        </w:rPr>
        <w:t>计划在</w:t>
      </w:r>
      <w:r>
        <w:rPr>
          <w:rFonts w:hint="eastAsia" w:ascii="仿宋" w:hAnsi="仿宋" w:eastAsia="仿宋"/>
          <w:bCs/>
          <w:sz w:val="28"/>
          <w:szCs w:val="28"/>
          <w:lang w:val="en-US" w:eastAsia="zh-CN"/>
        </w:rPr>
        <w:t>2025年春季糖酒会期间进行户外广告投放。</w:t>
      </w:r>
    </w:p>
    <w:p w14:paraId="215145A3">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1.3项目主要服务内容：</w:t>
      </w:r>
    </w:p>
    <w:p w14:paraId="68FBFDEC">
      <w:pPr>
        <w:adjustRightInd w:val="0"/>
        <w:snapToGrid w:val="0"/>
        <w:spacing w:line="360" w:lineRule="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本次计划投放内容包含A、B、C三类资源，资源范围为成都及射洪区域。描述如下：</w:t>
      </w:r>
      <w:bookmarkStart w:id="2" w:name="_GoBack"/>
    </w:p>
    <w:p w14:paraId="690BEEF2">
      <w:pPr>
        <w:adjustRightInd w:val="0"/>
        <w:snapToGrid w:val="0"/>
        <w:spacing w:line="360" w:lineRule="auto"/>
        <w:rPr>
          <w:rFonts w:hint="default" w:ascii="仿宋" w:hAnsi="仿宋" w:eastAsia="仿宋"/>
          <w:bCs/>
          <w:sz w:val="28"/>
          <w:szCs w:val="28"/>
          <w:lang w:val="en-US" w:eastAsia="zh-CN"/>
        </w:rPr>
      </w:pPr>
      <w:r>
        <w:rPr>
          <w:rFonts w:hint="eastAsia" w:ascii="仿宋" w:hAnsi="仿宋" w:eastAsia="仿宋"/>
          <w:bCs/>
          <w:sz w:val="28"/>
          <w:szCs w:val="28"/>
          <w:lang w:val="en-US" w:eastAsia="zh-CN"/>
        </w:rPr>
        <w:t>A类资源：招标人指定的成都区域资源，包括户外</w:t>
      </w:r>
      <w:r>
        <w:rPr>
          <w:rFonts w:hint="eastAsia"/>
          <w:bCs/>
          <w:sz w:val="28"/>
          <w:szCs w:val="28"/>
          <w:lang w:val="en-US" w:eastAsia="zh-CN"/>
        </w:rPr>
        <w:t>商圈、</w:t>
      </w:r>
      <w:r>
        <w:rPr>
          <w:rFonts w:hint="eastAsia" w:ascii="仿宋" w:hAnsi="仿宋" w:eastAsia="仿宋"/>
          <w:bCs/>
          <w:sz w:val="28"/>
          <w:szCs w:val="28"/>
          <w:lang w:val="en-US" w:eastAsia="zh-CN"/>
        </w:rPr>
        <w:t>地标媒体；</w:t>
      </w:r>
    </w:p>
    <w:bookmarkEnd w:id="2"/>
    <w:p w14:paraId="58473C17">
      <w:pPr>
        <w:adjustRightInd w:val="0"/>
        <w:snapToGrid w:val="0"/>
        <w:spacing w:line="360" w:lineRule="auto"/>
        <w:rPr>
          <w:rFonts w:hint="eastAsia" w:ascii="仿宋" w:hAnsi="仿宋" w:eastAsia="仿宋"/>
          <w:bCs/>
          <w:sz w:val="28"/>
          <w:szCs w:val="28"/>
          <w:lang w:val="en-US" w:eastAsia="zh-CN"/>
        </w:rPr>
      </w:pPr>
      <w:r>
        <w:rPr>
          <w:rFonts w:hint="eastAsia" w:ascii="仿宋" w:hAnsi="仿宋" w:eastAsia="仿宋"/>
          <w:bCs/>
          <w:sz w:val="28"/>
          <w:szCs w:val="28"/>
          <w:lang w:val="en-US" w:eastAsia="zh-CN"/>
        </w:rPr>
        <w:t>B类资源：对标A类资源，投标人按要求提报的成都区域其他同类资源</w:t>
      </w:r>
      <w:r>
        <w:rPr>
          <w:rFonts w:hint="eastAsia"/>
          <w:bCs/>
          <w:sz w:val="28"/>
          <w:szCs w:val="28"/>
          <w:lang w:val="en-US" w:eastAsia="zh-CN"/>
        </w:rPr>
        <w:t>；</w:t>
      </w:r>
    </w:p>
    <w:p w14:paraId="0580A5C0">
      <w:pPr>
        <w:adjustRightInd w:val="0"/>
        <w:snapToGrid w:val="0"/>
        <w:spacing w:line="360" w:lineRule="auto"/>
        <w:rPr>
          <w:rFonts w:hint="default" w:ascii="仿宋" w:hAnsi="仿宋" w:eastAsia="仿宋"/>
          <w:bCs/>
          <w:sz w:val="28"/>
          <w:szCs w:val="28"/>
          <w:lang w:val="en-US" w:eastAsia="zh-CN"/>
        </w:rPr>
      </w:pPr>
      <w:r>
        <w:rPr>
          <w:rFonts w:hint="eastAsia" w:ascii="仿宋" w:hAnsi="仿宋" w:eastAsia="仿宋"/>
          <w:bCs/>
          <w:sz w:val="28"/>
          <w:szCs w:val="28"/>
          <w:lang w:val="en-US" w:eastAsia="zh-CN"/>
        </w:rPr>
        <w:t>C类资源：成都-射洪核心高速公路之间媒体</w:t>
      </w:r>
      <w:r>
        <w:rPr>
          <w:rFonts w:hint="eastAsia"/>
          <w:bCs/>
          <w:sz w:val="28"/>
          <w:szCs w:val="28"/>
          <w:lang w:val="en-US" w:eastAsia="zh-CN"/>
        </w:rPr>
        <w:t>，</w:t>
      </w:r>
      <w:r>
        <w:rPr>
          <w:rFonts w:hint="eastAsia" w:ascii="仿宋" w:hAnsi="仿宋" w:eastAsia="仿宋"/>
          <w:bCs/>
          <w:sz w:val="28"/>
          <w:szCs w:val="28"/>
          <w:lang w:val="en-US" w:eastAsia="zh-CN"/>
        </w:rPr>
        <w:t>如收费站、高架桥等枢纽位置资源。</w:t>
      </w:r>
    </w:p>
    <w:p w14:paraId="45E94E2A">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1.4项目实施时间：暂定2025年3月起</w:t>
      </w:r>
      <w:r>
        <w:rPr>
          <w:rFonts w:hint="eastAsia" w:ascii="仿宋" w:hAnsi="仿宋" w:eastAsia="仿宋"/>
          <w:bCs/>
          <w:sz w:val="28"/>
          <w:szCs w:val="28"/>
        </w:rPr>
        <w:t>（以实际签约时间为准）</w:t>
      </w:r>
      <w:r>
        <w:rPr>
          <w:rFonts w:ascii="仿宋" w:hAnsi="仿宋" w:eastAsia="仿宋"/>
          <w:sz w:val="28"/>
          <w:szCs w:val="28"/>
        </w:rPr>
        <w:t xml:space="preserve"> </w:t>
      </w:r>
    </w:p>
    <w:p w14:paraId="226873D5">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1C306C4D">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1.6验收方式：提供结案报告书面验收。</w:t>
      </w:r>
    </w:p>
    <w:p w14:paraId="08B7891D">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7</w:t>
      </w:r>
      <w:r>
        <w:rPr>
          <w:rFonts w:hint="eastAsia" w:ascii="仿宋" w:hAnsi="仿宋" w:eastAsia="仿宋"/>
          <w:sz w:val="28"/>
          <w:szCs w:val="28"/>
        </w:rPr>
        <w:t>付款方式：根据项目执行情况和招标人验收合格情况付款，投标人申请付款前均应提供等额增值税专用发票。</w:t>
      </w:r>
    </w:p>
    <w:p w14:paraId="73E50E67">
      <w:pPr>
        <w:numPr>
          <w:ilvl w:val="255"/>
          <w:numId w:val="0"/>
        </w:numPr>
        <w:spacing w:line="360" w:lineRule="auto"/>
        <w:rPr>
          <w:rFonts w:hint="eastAsia" w:ascii="仿宋" w:hAnsi="仿宋" w:eastAsia="仿宋"/>
          <w:b/>
          <w:bCs/>
          <w:sz w:val="28"/>
          <w:szCs w:val="28"/>
        </w:rPr>
      </w:pPr>
      <w:bookmarkStart w:id="0" w:name="_Hlk114040219"/>
      <w:r>
        <w:rPr>
          <w:rFonts w:hint="eastAsia" w:ascii="仿宋" w:hAnsi="仿宋" w:eastAsia="仿宋"/>
          <w:b/>
          <w:bCs/>
          <w:sz w:val="28"/>
          <w:szCs w:val="28"/>
          <w:lang w:val="en-US" w:eastAsia="zh-CN"/>
        </w:rPr>
        <w:t>二、参与投标的潜在投标人需符合以下条件：</w:t>
      </w:r>
    </w:p>
    <w:p w14:paraId="05D64252">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 xml:space="preserve">2.1投标人应具有独立的法人资格，持有在中国合法注册的《营业执照》； </w:t>
      </w:r>
    </w:p>
    <w:p w14:paraId="07BAED3A">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070E77EB">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14:paraId="511B34C2">
      <w:pPr>
        <w:numPr>
          <w:ilvl w:val="255"/>
          <w:numId w:val="0"/>
        </w:numPr>
        <w:spacing w:line="360" w:lineRule="auto"/>
        <w:rPr>
          <w:rFonts w:hint="eastAsia" w:ascii="仿宋" w:hAnsi="仿宋" w:eastAsia="仿宋"/>
          <w:b/>
          <w:bCs/>
          <w:sz w:val="28"/>
          <w:szCs w:val="28"/>
        </w:rPr>
      </w:pPr>
      <w:r>
        <w:rPr>
          <w:rFonts w:hint="eastAsia" w:ascii="仿宋" w:hAnsi="仿宋" w:eastAsia="仿宋"/>
          <w:b/>
          <w:bCs/>
          <w:sz w:val="28"/>
          <w:szCs w:val="28"/>
        </w:rPr>
        <w:t>三、投标保证金：</w:t>
      </w:r>
    </w:p>
    <w:p w14:paraId="10EC087B">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3.1投标保证金：投标保证金：</w:t>
      </w:r>
      <w:r>
        <w:rPr>
          <w:rFonts w:hint="eastAsia" w:ascii="仿宋" w:hAnsi="仿宋" w:eastAsia="仿宋"/>
          <w:sz w:val="28"/>
          <w:szCs w:val="28"/>
          <w:lang w:val="en-US" w:eastAsia="zh-CN"/>
        </w:rPr>
        <w:t>20000</w:t>
      </w:r>
      <w:r>
        <w:rPr>
          <w:rFonts w:hint="eastAsia" w:ascii="仿宋" w:hAnsi="仿宋" w:eastAsia="仿宋"/>
          <w:sz w:val="28"/>
          <w:szCs w:val="28"/>
        </w:rPr>
        <w:t>元(人民币</w:t>
      </w:r>
      <w:r>
        <w:rPr>
          <w:rFonts w:hint="eastAsia" w:ascii="仿宋" w:hAnsi="仿宋" w:eastAsia="仿宋"/>
          <w:sz w:val="28"/>
          <w:szCs w:val="28"/>
          <w:lang w:val="en-US" w:eastAsia="zh-CN"/>
        </w:rPr>
        <w:t>贰万</w:t>
      </w:r>
      <w:r>
        <w:rPr>
          <w:rFonts w:hint="eastAsia" w:ascii="仿宋" w:hAnsi="仿宋" w:eastAsia="仿宋"/>
          <w:sz w:val="28"/>
          <w:szCs w:val="28"/>
        </w:rPr>
        <w:t>元整）。投标人可在收到招标文件且确认参标后，在规定时间内上传保证金缴纳凭证。投标人以网银转账或电汇方式缴纳至招标人指定账户，转账需备注“</w:t>
      </w:r>
      <w:r>
        <w:rPr>
          <w:rFonts w:hint="eastAsia" w:ascii="仿宋" w:hAnsi="仿宋" w:eastAsia="仿宋"/>
          <w:sz w:val="28"/>
          <w:szCs w:val="28"/>
          <w:lang w:eastAsia="zh-CN"/>
        </w:rPr>
        <w:t>2025年春糖高势能</w:t>
      </w:r>
      <w:r>
        <w:rPr>
          <w:rFonts w:hint="eastAsia" w:ascii="仿宋" w:hAnsi="仿宋" w:eastAsia="仿宋"/>
          <w:sz w:val="28"/>
          <w:szCs w:val="28"/>
        </w:rPr>
        <w:t>-投标保证金”，投标保证金缴纳后登陆舍得酒业招采数字化平台（网址：https://ssrm.shede.com.cn）点击页面顶部“一链网”，在截止时间前上传转账凭证。</w:t>
      </w:r>
    </w:p>
    <w:p w14:paraId="4A0E0CA2">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 xml:space="preserve">保证金缴纳凭证上传截止时间： </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2</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日下午</w:t>
      </w:r>
      <w:r>
        <w:rPr>
          <w:rFonts w:hint="eastAsia" w:ascii="仿宋" w:hAnsi="仿宋" w:eastAsia="仿宋"/>
          <w:sz w:val="28"/>
          <w:szCs w:val="28"/>
          <w:lang w:val="en-US" w:eastAsia="zh-CN"/>
        </w:rPr>
        <w:t>16</w:t>
      </w:r>
      <w:r>
        <w:rPr>
          <w:rFonts w:hint="eastAsia" w:ascii="仿宋" w:hAnsi="仿宋" w:eastAsia="仿宋"/>
          <w:sz w:val="28"/>
          <w:szCs w:val="28"/>
        </w:rPr>
        <w:t>:00前</w:t>
      </w:r>
    </w:p>
    <w:p w14:paraId="1807744D">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 xml:space="preserve">投标保证金凭证上传时间截止且经系统确认后，投标人方可递交投标文件，投标人可选择一个或多个点位进行投标。 </w:t>
      </w:r>
    </w:p>
    <w:p w14:paraId="02D6EED4">
      <w:pPr>
        <w:numPr>
          <w:ilvl w:val="255"/>
          <w:numId w:val="0"/>
        </w:numPr>
        <w:spacing w:line="360" w:lineRule="auto"/>
        <w:ind w:right="-301" w:rightChars="-94"/>
        <w:jc w:val="left"/>
        <w:rPr>
          <w:rFonts w:hint="eastAsia" w:ascii="仿宋" w:hAnsi="仿宋" w:eastAsia="仿宋"/>
          <w:sz w:val="28"/>
          <w:szCs w:val="28"/>
        </w:rPr>
      </w:pPr>
    </w:p>
    <w:p w14:paraId="6A5FEE49">
      <w:pPr>
        <w:numPr>
          <w:ilvl w:val="255"/>
          <w:numId w:val="0"/>
        </w:numPr>
        <w:spacing w:line="360" w:lineRule="auto"/>
        <w:ind w:right="-301" w:rightChars="-94"/>
        <w:jc w:val="left"/>
        <w:rPr>
          <w:rFonts w:hint="eastAsia" w:ascii="仿宋" w:hAnsi="仿宋" w:eastAsia="仿宋"/>
          <w:sz w:val="28"/>
          <w:szCs w:val="28"/>
        </w:rPr>
      </w:pPr>
      <w:r>
        <w:rPr>
          <w:rFonts w:hint="eastAsia" w:ascii="仿宋" w:hAnsi="仿宋" w:eastAsia="仿宋"/>
          <w:sz w:val="28"/>
          <w:szCs w:val="28"/>
        </w:rPr>
        <w:t>收款信息：</w:t>
      </w:r>
    </w:p>
    <w:p w14:paraId="7D455D47">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开户名称：四川沱牌舍得营销有限公司</w:t>
      </w:r>
    </w:p>
    <w:p w14:paraId="6918692C">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开户银行：中国建设银行射洪支行</w:t>
      </w:r>
    </w:p>
    <w:p w14:paraId="6887AAE7">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银行账号：5105 0167 7108 0000 0087</w:t>
      </w:r>
    </w:p>
    <w:p w14:paraId="171D9559">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3.2 保证金退还</w:t>
      </w:r>
    </w:p>
    <w:p w14:paraId="5E4654EC">
      <w:pPr>
        <w:numPr>
          <w:ilvl w:val="255"/>
          <w:numId w:val="0"/>
        </w:numPr>
        <w:spacing w:line="360" w:lineRule="auto"/>
        <w:ind w:firstLine="560" w:firstLineChars="200"/>
        <w:rPr>
          <w:rFonts w:hint="eastAsia" w:ascii="仿宋" w:hAnsi="仿宋" w:eastAsia="仿宋"/>
          <w:i w:val="0"/>
          <w:iCs w:val="0"/>
          <w:color w:val="000000" w:themeColor="text1"/>
          <w:sz w:val="28"/>
          <w:szCs w:val="28"/>
          <w:highlight w:val="none"/>
          <w14:textFill>
            <w14:solidFill>
              <w14:schemeClr w14:val="tx1"/>
            </w14:solidFill>
          </w14:textFill>
        </w:rPr>
      </w:pPr>
      <w:r>
        <w:rPr>
          <w:rFonts w:hint="eastAsia" w:ascii="仿宋" w:hAnsi="仿宋" w:eastAsia="仿宋"/>
          <w:i w:val="0"/>
          <w:iCs w:val="0"/>
          <w:color w:val="000000" w:themeColor="text1"/>
          <w:sz w:val="28"/>
          <w:szCs w:val="28"/>
          <w:highlight w:val="none"/>
          <w14:textFill>
            <w14:solidFill>
              <w14:schemeClr w14:val="tx1"/>
            </w14:solidFill>
          </w14:textFill>
        </w:rPr>
        <w:t>未中标方在我司公示中选人后30日内一次性不计利息按原汇款路径退还投标保证金；</w:t>
      </w:r>
    </w:p>
    <w:p w14:paraId="4B34B97A">
      <w:pPr>
        <w:numPr>
          <w:ilvl w:val="255"/>
          <w:numId w:val="0"/>
        </w:numPr>
        <w:spacing w:line="360" w:lineRule="auto"/>
        <w:ind w:firstLine="560" w:firstLineChars="200"/>
        <w:rPr>
          <w:rFonts w:hint="eastAsia" w:ascii="仿宋" w:hAnsi="仿宋" w:eastAsia="仿宋"/>
          <w:i w:val="0"/>
          <w:iCs w:val="0"/>
          <w:color w:val="000000" w:themeColor="text1"/>
          <w:sz w:val="28"/>
          <w:szCs w:val="28"/>
          <w:highlight w:val="none"/>
          <w:lang w:eastAsia="zh-CN"/>
          <w14:textFill>
            <w14:solidFill>
              <w14:schemeClr w14:val="tx1"/>
            </w14:solidFill>
          </w14:textFill>
        </w:rPr>
      </w:pPr>
      <w:r>
        <w:rPr>
          <w:rFonts w:hint="eastAsia" w:ascii="仿宋" w:hAnsi="仿宋" w:eastAsia="仿宋"/>
          <w:i w:val="0"/>
          <w:iCs w:val="0"/>
          <w:color w:val="000000" w:themeColor="text1"/>
          <w:sz w:val="28"/>
          <w:szCs w:val="28"/>
          <w:highlight w:val="none"/>
          <w14:textFill>
            <w14:solidFill>
              <w14:schemeClr w14:val="tx1"/>
            </w14:solidFill>
          </w14:textFill>
        </w:rPr>
        <w:t>中标方投标保证金在对应中标合同双方签订后30日内全额退还</w:t>
      </w:r>
      <w:r>
        <w:rPr>
          <w:rFonts w:hint="eastAsia"/>
          <w:i w:val="0"/>
          <w:iCs w:val="0"/>
          <w:color w:val="000000" w:themeColor="text1"/>
          <w:sz w:val="28"/>
          <w:szCs w:val="28"/>
          <w:highlight w:val="none"/>
          <w:lang w:eastAsia="zh-CN"/>
          <w14:textFill>
            <w14:solidFill>
              <w14:schemeClr w14:val="tx1"/>
            </w14:solidFill>
          </w14:textFill>
        </w:rPr>
        <w:t>。</w:t>
      </w:r>
    </w:p>
    <w:p w14:paraId="7E2616A1">
      <w:pPr>
        <w:numPr>
          <w:ilvl w:val="255"/>
          <w:numId w:val="0"/>
        </w:numPr>
        <w:spacing w:line="360" w:lineRule="auto"/>
        <w:ind w:firstLine="560" w:firstLineChars="200"/>
        <w:rPr>
          <w:rStyle w:val="25"/>
          <w:sz w:val="20"/>
          <w:szCs w:val="22"/>
        </w:rPr>
      </w:pPr>
      <w:r>
        <w:rPr>
          <w:rFonts w:hint="eastAsia" w:ascii="仿宋" w:hAnsi="仿宋" w:eastAsia="仿宋"/>
          <w:color w:val="000000" w:themeColor="text1"/>
          <w:sz w:val="28"/>
          <w:szCs w:val="28"/>
          <w14:textFill>
            <w14:solidFill>
              <w14:schemeClr w14:val="tx1"/>
            </w14:solidFill>
          </w14:textFill>
        </w:rPr>
        <w:t>若投标人有串标、围标、提供虚假证明材料、投标文件无法执行、中</w:t>
      </w:r>
      <w:r>
        <w:rPr>
          <w:rFonts w:hint="eastAsia" w:ascii="仿宋" w:hAnsi="仿宋" w:eastAsia="仿宋"/>
          <w:sz w:val="28"/>
          <w:szCs w:val="28"/>
        </w:rPr>
        <w:t>标入围后因投标人原因无法签订合同等违规行为，投标保证金根据本次招标的相关规定不予退还且不开具任何票据。</w:t>
      </w:r>
    </w:p>
    <w:p w14:paraId="163F2D01">
      <w:pPr>
        <w:numPr>
          <w:ilvl w:val="255"/>
          <w:numId w:val="0"/>
        </w:numPr>
        <w:spacing w:line="360" w:lineRule="auto"/>
        <w:rPr>
          <w:rFonts w:hint="eastAsia" w:ascii="仿宋" w:hAnsi="仿宋" w:eastAsia="仿宋"/>
          <w:b/>
          <w:bCs/>
          <w:sz w:val="20"/>
          <w:szCs w:val="22"/>
        </w:rPr>
      </w:pPr>
    </w:p>
    <w:p w14:paraId="10AE456D">
      <w:pPr>
        <w:numPr>
          <w:ilvl w:val="255"/>
          <w:numId w:val="0"/>
        </w:numPr>
        <w:spacing w:line="360" w:lineRule="auto"/>
        <w:rPr>
          <w:rFonts w:hint="eastAsia" w:ascii="仿宋" w:hAnsi="仿宋" w:eastAsia="仿宋"/>
          <w:b/>
          <w:bCs/>
          <w:sz w:val="28"/>
          <w:szCs w:val="28"/>
        </w:rPr>
      </w:pPr>
      <w:r>
        <w:rPr>
          <w:rFonts w:hint="eastAsia" w:ascii="仿宋" w:hAnsi="仿宋" w:eastAsia="仿宋"/>
          <w:b/>
          <w:bCs/>
          <w:sz w:val="28"/>
          <w:szCs w:val="28"/>
        </w:rPr>
        <w:t xml:space="preserve">四、投标报名联系人及时间安排： </w:t>
      </w:r>
    </w:p>
    <w:p w14:paraId="08AA13B5">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4.1 联系人及方式</w:t>
      </w:r>
    </w:p>
    <w:p w14:paraId="7FC2C790">
      <w:pPr>
        <w:adjustRightInd w:val="0"/>
        <w:snapToGrid w:val="0"/>
        <w:spacing w:line="360" w:lineRule="auto"/>
        <w:rPr>
          <w:rFonts w:hint="eastAsia" w:ascii="仿宋" w:hAnsi="仿宋" w:eastAsia="仿宋"/>
          <w:color w:val="auto"/>
          <w:sz w:val="28"/>
          <w:szCs w:val="28"/>
        </w:rPr>
      </w:pPr>
      <w:r>
        <w:rPr>
          <w:rFonts w:hint="eastAsia" w:ascii="仿宋" w:hAnsi="仿宋" w:eastAsia="仿宋"/>
          <w:color w:val="auto"/>
          <w:sz w:val="28"/>
          <w:szCs w:val="28"/>
        </w:rPr>
        <w:t>①投标联系人：</w:t>
      </w:r>
      <w:r>
        <w:rPr>
          <w:rFonts w:hint="eastAsia" w:ascii="仿宋" w:hAnsi="仿宋" w:eastAsia="仿宋"/>
          <w:color w:val="auto"/>
          <w:sz w:val="28"/>
          <w:szCs w:val="28"/>
          <w:lang w:val="en-US" w:eastAsia="zh-CN"/>
        </w:rPr>
        <w:t>廖先生</w:t>
      </w:r>
      <w:r>
        <w:rPr>
          <w:rFonts w:hint="eastAsia" w:ascii="仿宋" w:hAnsi="仿宋" w:eastAsia="仿宋"/>
          <w:color w:val="auto"/>
          <w:sz w:val="28"/>
          <w:szCs w:val="28"/>
        </w:rPr>
        <w:t xml:space="preserve"> 电话 </w:t>
      </w:r>
      <w:r>
        <w:rPr>
          <w:rFonts w:hint="eastAsia" w:ascii="仿宋" w:hAnsi="仿宋" w:eastAsia="仿宋" w:cs="仿宋"/>
          <w:color w:val="auto"/>
          <w:sz w:val="28"/>
          <w:szCs w:val="28"/>
          <w:highlight w:val="none"/>
          <w:lang w:val="en-US" w:eastAsia="zh-CN"/>
        </w:rPr>
        <w:t>028-61863833转1</w:t>
      </w:r>
      <w:r>
        <w:rPr>
          <w:rFonts w:ascii="仿宋" w:hAnsi="仿宋" w:eastAsia="仿宋"/>
          <w:color w:val="auto"/>
          <w:sz w:val="28"/>
          <w:szCs w:val="28"/>
        </w:rPr>
        <w:t xml:space="preserve"> </w:t>
      </w:r>
      <w:r>
        <w:rPr>
          <w:rFonts w:hint="eastAsia" w:ascii="仿宋" w:hAnsi="仿宋" w:eastAsia="仿宋"/>
          <w:color w:val="auto"/>
          <w:sz w:val="28"/>
          <w:szCs w:val="28"/>
        </w:rPr>
        <w:t xml:space="preserve"> 09:30-17:30</w:t>
      </w:r>
    </w:p>
    <w:p w14:paraId="6E6EE415">
      <w:pPr>
        <w:spacing w:line="360" w:lineRule="auto"/>
        <w:rPr>
          <w:rFonts w:hint="eastAsia" w:ascii="仿宋" w:hAnsi="仿宋" w:eastAsia="仿宋"/>
          <w:color w:val="auto"/>
          <w:sz w:val="28"/>
          <w:szCs w:val="28"/>
        </w:rPr>
      </w:pPr>
      <w:r>
        <w:rPr>
          <w:rFonts w:hint="eastAsia" w:ascii="仿宋" w:hAnsi="仿宋" w:eastAsia="仿宋"/>
          <w:color w:val="auto"/>
          <w:sz w:val="28"/>
          <w:szCs w:val="28"/>
        </w:rPr>
        <w:t>②报名截止时间：</w:t>
      </w:r>
      <w:r>
        <w:rPr>
          <w:rFonts w:hint="eastAsia"/>
          <w:color w:val="auto"/>
          <w:sz w:val="20"/>
          <w:szCs w:val="22"/>
        </w:rPr>
        <w:t xml:space="preserve"> </w:t>
      </w:r>
      <w:r>
        <w:rPr>
          <w:rFonts w:hint="eastAsia" w:ascii="仿宋" w:hAnsi="仿宋" w:eastAsia="仿宋"/>
          <w:color w:val="auto"/>
          <w:sz w:val="28"/>
          <w:szCs w:val="28"/>
          <w:lang w:val="en-US" w:eastAsia="zh-CN"/>
        </w:rPr>
        <w:t>2025年2月11</w:t>
      </w:r>
      <w:r>
        <w:rPr>
          <w:rFonts w:hint="eastAsia" w:ascii="仿宋" w:hAnsi="仿宋" w:eastAsia="仿宋"/>
          <w:color w:val="auto"/>
          <w:sz w:val="28"/>
          <w:szCs w:val="28"/>
        </w:rPr>
        <w:t>日</w:t>
      </w:r>
      <w:r>
        <w:rPr>
          <w:rFonts w:hint="eastAsia" w:ascii="仿宋" w:hAnsi="仿宋" w:eastAsia="仿宋"/>
          <w:color w:val="auto"/>
          <w:sz w:val="28"/>
          <w:szCs w:val="28"/>
          <w:lang w:val="en-US" w:eastAsia="zh-CN"/>
        </w:rPr>
        <w:t>16</w:t>
      </w:r>
      <w:r>
        <w:rPr>
          <w:rFonts w:hint="eastAsia" w:ascii="仿宋" w:hAnsi="仿宋" w:eastAsia="仿宋"/>
          <w:color w:val="auto"/>
          <w:sz w:val="28"/>
          <w:szCs w:val="28"/>
        </w:rPr>
        <w:t>:</w:t>
      </w:r>
      <w:r>
        <w:rPr>
          <w:rFonts w:hint="eastAsia" w:ascii="仿宋" w:hAnsi="仿宋" w:eastAsia="仿宋"/>
          <w:color w:val="auto"/>
          <w:sz w:val="28"/>
          <w:szCs w:val="28"/>
          <w:lang w:val="en-US" w:eastAsia="zh-CN"/>
        </w:rPr>
        <w:t>00</w:t>
      </w:r>
      <w:r>
        <w:rPr>
          <w:rFonts w:hint="eastAsia" w:ascii="仿宋" w:hAnsi="仿宋" w:eastAsia="仿宋"/>
          <w:color w:val="auto"/>
          <w:sz w:val="28"/>
          <w:szCs w:val="28"/>
        </w:rPr>
        <w:t>前</w:t>
      </w:r>
    </w:p>
    <w:p w14:paraId="56520A9C">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未按照上述要求进行报名的均视为报名无效，报名截止后通过资格预审的投标人可获取招标文件并参加投标。</w:t>
      </w:r>
    </w:p>
    <w:p w14:paraId="4FF4B56B">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4.2招标文件的获取方式</w:t>
      </w:r>
    </w:p>
    <w:p w14:paraId="79E0A0DC">
      <w:pPr>
        <w:spacing w:line="360" w:lineRule="auto"/>
        <w:ind w:firstLine="560" w:firstLineChars="200"/>
        <w:jc w:val="left"/>
        <w:rPr>
          <w:rFonts w:hint="eastAsia" w:ascii="仿宋" w:hAnsi="仿宋" w:eastAsia="仿宋"/>
          <w:color w:val="auto"/>
          <w:sz w:val="28"/>
          <w:szCs w:val="28"/>
        </w:rPr>
      </w:pPr>
      <w:r>
        <w:rPr>
          <w:rFonts w:hint="eastAsia" w:ascii="仿宋" w:hAnsi="仿宋" w:eastAsia="仿宋"/>
          <w:color w:val="auto"/>
          <w:sz w:val="28"/>
          <w:szCs w:val="28"/>
        </w:rPr>
        <w:t>登陆舍得酒业招采数字化平台（网址：</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），点击页面顶部的“一链网”获取招标文件。</w:t>
      </w:r>
    </w:p>
    <w:p w14:paraId="398813B4">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4.3时间安排</w:t>
      </w:r>
    </w:p>
    <w:p w14:paraId="3468BCEE">
      <w:pPr>
        <w:spacing w:line="360" w:lineRule="auto"/>
        <w:rPr>
          <w:rFonts w:hint="eastAsia" w:ascii="仿宋" w:hAnsi="仿宋" w:eastAsia="仿宋"/>
          <w:sz w:val="28"/>
          <w:szCs w:val="28"/>
        </w:rPr>
      </w:pPr>
      <w:r>
        <w:rPr>
          <w:rFonts w:ascii="仿宋" w:hAnsi="仿宋" w:eastAsia="仿宋"/>
          <w:sz w:val="28"/>
          <w:szCs w:val="28"/>
        </w:rPr>
        <w:t>本项目</w:t>
      </w:r>
      <w:r>
        <w:rPr>
          <w:rFonts w:hint="eastAsia" w:ascii="仿宋" w:hAnsi="仿宋" w:eastAsia="仿宋"/>
          <w:sz w:val="28"/>
          <w:szCs w:val="28"/>
        </w:rPr>
        <w:t>预计发标</w:t>
      </w:r>
      <w:r>
        <w:rPr>
          <w:rFonts w:ascii="仿宋" w:hAnsi="仿宋" w:eastAsia="仿宋"/>
          <w:sz w:val="28"/>
          <w:szCs w:val="28"/>
        </w:rPr>
        <w:t>时间：</w:t>
      </w:r>
      <w:r>
        <w:rPr>
          <w:rFonts w:hint="eastAsia" w:ascii="仿宋" w:hAnsi="仿宋" w:eastAsia="仿宋"/>
          <w:sz w:val="28"/>
          <w:szCs w:val="28"/>
          <w:lang w:val="en-US" w:eastAsia="zh-CN"/>
        </w:rPr>
        <w:t>2025</w:t>
      </w:r>
      <w:r>
        <w:rPr>
          <w:rFonts w:ascii="仿宋" w:hAnsi="仿宋" w:eastAsia="仿宋"/>
          <w:sz w:val="28"/>
          <w:szCs w:val="28"/>
        </w:rPr>
        <w:t>年</w:t>
      </w:r>
      <w:r>
        <w:rPr>
          <w:rFonts w:hint="eastAsia" w:ascii="仿宋" w:hAnsi="仿宋" w:eastAsia="仿宋"/>
          <w:sz w:val="28"/>
          <w:szCs w:val="28"/>
          <w:lang w:val="en-US" w:eastAsia="zh-CN"/>
        </w:rPr>
        <w:t>2</w:t>
      </w:r>
      <w:r>
        <w:rPr>
          <w:rFonts w:ascii="仿宋" w:hAnsi="仿宋" w:eastAsia="仿宋"/>
          <w:sz w:val="28"/>
          <w:szCs w:val="28"/>
        </w:rPr>
        <w:t>月</w:t>
      </w:r>
      <w:r>
        <w:rPr>
          <w:rFonts w:hint="eastAsia" w:ascii="仿宋" w:hAnsi="仿宋" w:eastAsia="仿宋"/>
          <w:sz w:val="28"/>
          <w:szCs w:val="28"/>
          <w:lang w:val="en-US" w:eastAsia="zh-CN"/>
        </w:rPr>
        <w:t>14</w:t>
      </w:r>
      <w:r>
        <w:rPr>
          <w:rFonts w:hint="eastAsia" w:ascii="仿宋" w:hAnsi="仿宋" w:eastAsia="仿宋"/>
          <w:sz w:val="28"/>
          <w:szCs w:val="28"/>
        </w:rPr>
        <w:t>日</w:t>
      </w:r>
    </w:p>
    <w:p w14:paraId="3124B673">
      <w:pPr>
        <w:spacing w:line="360" w:lineRule="auto"/>
        <w:rPr>
          <w:rFonts w:hint="eastAsia" w:ascii="仿宋" w:hAnsi="仿宋" w:eastAsia="仿宋"/>
          <w:sz w:val="28"/>
          <w:szCs w:val="28"/>
        </w:rPr>
      </w:pPr>
      <w:r>
        <w:rPr>
          <w:rFonts w:hint="eastAsia" w:ascii="仿宋" w:hAnsi="仿宋" w:eastAsia="仿宋"/>
          <w:sz w:val="28"/>
          <w:szCs w:val="28"/>
        </w:rPr>
        <w:t>本项目</w:t>
      </w:r>
      <w:r>
        <w:rPr>
          <w:rFonts w:ascii="仿宋" w:hAnsi="仿宋" w:eastAsia="仿宋"/>
          <w:sz w:val="28"/>
          <w:szCs w:val="28"/>
        </w:rPr>
        <w:t>预计</w:t>
      </w:r>
      <w:r>
        <w:rPr>
          <w:rFonts w:hint="eastAsia" w:ascii="仿宋" w:hAnsi="仿宋" w:eastAsia="仿宋"/>
          <w:sz w:val="28"/>
          <w:szCs w:val="28"/>
        </w:rPr>
        <w:t>回标</w:t>
      </w:r>
      <w:r>
        <w:rPr>
          <w:rFonts w:ascii="仿宋" w:hAnsi="仿宋" w:eastAsia="仿宋"/>
          <w:sz w:val="28"/>
          <w:szCs w:val="28"/>
        </w:rPr>
        <w:t>时间：</w:t>
      </w:r>
      <w:r>
        <w:rPr>
          <w:rFonts w:hint="eastAsia" w:ascii="仿宋" w:hAnsi="仿宋" w:eastAsia="仿宋"/>
          <w:sz w:val="28"/>
          <w:szCs w:val="28"/>
          <w:lang w:val="en-US" w:eastAsia="zh-CN"/>
        </w:rPr>
        <w:t>2025</w:t>
      </w:r>
      <w:r>
        <w:rPr>
          <w:rFonts w:ascii="仿宋" w:hAnsi="仿宋" w:eastAsia="仿宋"/>
          <w:sz w:val="28"/>
          <w:szCs w:val="28"/>
        </w:rPr>
        <w:t>年</w:t>
      </w:r>
      <w:r>
        <w:rPr>
          <w:rFonts w:hint="eastAsia" w:ascii="仿宋" w:hAnsi="仿宋" w:eastAsia="仿宋"/>
          <w:sz w:val="28"/>
          <w:szCs w:val="28"/>
          <w:lang w:val="en-US" w:eastAsia="zh-CN"/>
        </w:rPr>
        <w:t>2</w:t>
      </w:r>
      <w:r>
        <w:rPr>
          <w:rFonts w:ascii="仿宋" w:hAnsi="仿宋" w:eastAsia="仿宋"/>
          <w:sz w:val="28"/>
          <w:szCs w:val="28"/>
        </w:rPr>
        <w:t>月</w:t>
      </w:r>
      <w:r>
        <w:rPr>
          <w:rFonts w:hint="eastAsia" w:ascii="仿宋" w:hAnsi="仿宋" w:eastAsia="仿宋"/>
          <w:sz w:val="28"/>
          <w:szCs w:val="28"/>
          <w:lang w:val="en-US" w:eastAsia="zh-CN"/>
        </w:rPr>
        <w:t>23</w:t>
      </w:r>
      <w:r>
        <w:rPr>
          <w:rFonts w:hint="eastAsia" w:ascii="仿宋" w:hAnsi="仿宋" w:eastAsia="仿宋"/>
          <w:sz w:val="28"/>
          <w:szCs w:val="28"/>
        </w:rPr>
        <w:t>日</w:t>
      </w:r>
    </w:p>
    <w:p w14:paraId="68783843">
      <w:pPr>
        <w:spacing w:line="360" w:lineRule="auto"/>
        <w:rPr>
          <w:rFonts w:hint="eastAsia" w:ascii="仿宋" w:hAnsi="仿宋" w:eastAsia="仿宋"/>
          <w:sz w:val="28"/>
          <w:szCs w:val="28"/>
        </w:rPr>
      </w:pPr>
      <w:r>
        <w:rPr>
          <w:rFonts w:hint="eastAsia" w:ascii="仿宋" w:hAnsi="仿宋" w:eastAsia="仿宋"/>
          <w:sz w:val="28"/>
          <w:szCs w:val="28"/>
        </w:rPr>
        <w:t>本项目预计开标时间：</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2</w:t>
      </w:r>
      <w:r>
        <w:rPr>
          <w:rFonts w:hint="eastAsia" w:ascii="仿宋" w:hAnsi="仿宋" w:eastAsia="仿宋"/>
          <w:sz w:val="28"/>
          <w:szCs w:val="28"/>
        </w:rPr>
        <w:t>月</w:t>
      </w:r>
      <w:r>
        <w:rPr>
          <w:rFonts w:hint="eastAsia" w:ascii="仿宋" w:hAnsi="仿宋" w:eastAsia="仿宋"/>
          <w:sz w:val="28"/>
          <w:szCs w:val="28"/>
          <w:lang w:val="en-US" w:eastAsia="zh-CN"/>
        </w:rPr>
        <w:t>24</w:t>
      </w:r>
      <w:r>
        <w:rPr>
          <w:rFonts w:hint="eastAsia" w:ascii="仿宋" w:hAnsi="仿宋" w:eastAsia="仿宋"/>
          <w:sz w:val="28"/>
          <w:szCs w:val="28"/>
        </w:rPr>
        <w:t>日</w:t>
      </w:r>
    </w:p>
    <w:p w14:paraId="67133E0D">
      <w:pPr>
        <w:spacing w:line="360" w:lineRule="auto"/>
        <w:rPr>
          <w:rFonts w:hint="eastAsia" w:ascii="仿宋" w:hAnsi="仿宋" w:eastAsia="仿宋"/>
          <w:sz w:val="28"/>
          <w:szCs w:val="28"/>
        </w:rPr>
      </w:pPr>
      <w:r>
        <w:rPr>
          <w:rFonts w:ascii="仿宋" w:hAnsi="仿宋" w:eastAsia="仿宋"/>
          <w:sz w:val="28"/>
          <w:szCs w:val="28"/>
        </w:rPr>
        <w:t>以上时间会根据项目的进度有所变动</w:t>
      </w:r>
      <w:r>
        <w:rPr>
          <w:rFonts w:hint="eastAsia" w:ascii="仿宋" w:hAnsi="仿宋" w:eastAsia="仿宋"/>
          <w:sz w:val="28"/>
          <w:szCs w:val="28"/>
        </w:rPr>
        <w:t>，以实际为准。</w:t>
      </w:r>
    </w:p>
    <w:p w14:paraId="68405F26">
      <w:pPr>
        <w:pStyle w:val="5"/>
        <w:rPr>
          <w:sz w:val="20"/>
          <w:szCs w:val="20"/>
        </w:rPr>
      </w:pPr>
    </w:p>
    <w:bookmarkEnd w:id="0"/>
    <w:p w14:paraId="29ADC58E">
      <w:pPr>
        <w:numPr>
          <w:ilvl w:val="255"/>
          <w:numId w:val="0"/>
        </w:numPr>
        <w:spacing w:line="360" w:lineRule="auto"/>
        <w:rPr>
          <w:rFonts w:hint="eastAsia" w:ascii="仿宋" w:hAnsi="仿宋" w:eastAsia="仿宋"/>
          <w:b/>
          <w:bCs/>
          <w:sz w:val="28"/>
          <w:szCs w:val="28"/>
        </w:rPr>
      </w:pPr>
      <w:r>
        <w:rPr>
          <w:rFonts w:hint="eastAsia" w:ascii="仿宋" w:hAnsi="仿宋" w:eastAsia="仿宋"/>
          <w:b/>
          <w:bCs/>
          <w:sz w:val="28"/>
          <w:szCs w:val="28"/>
        </w:rPr>
        <w:t>五、附件</w:t>
      </w:r>
    </w:p>
    <w:p w14:paraId="0A80A29E">
      <w:pPr>
        <w:spacing w:line="360" w:lineRule="auto"/>
        <w:rPr>
          <w:rFonts w:hint="eastAsia" w:ascii="仿宋" w:hAnsi="仿宋" w:eastAsia="仿宋" w:cs="Times New Roman"/>
          <w:sz w:val="28"/>
          <w:szCs w:val="28"/>
        </w:rPr>
      </w:pPr>
      <w:r>
        <w:rPr>
          <w:rFonts w:hint="eastAsia" w:ascii="仿宋" w:hAnsi="仿宋" w:eastAsia="仿宋" w:cs="Times New Roman"/>
          <w:sz w:val="28"/>
          <w:szCs w:val="28"/>
        </w:rPr>
        <w:t>附件一：资格预审必要合格条件标准</w:t>
      </w:r>
    </w:p>
    <w:p w14:paraId="03EB4C90">
      <w:pPr>
        <w:spacing w:line="360" w:lineRule="auto"/>
        <w:rPr>
          <w:rFonts w:hint="eastAsia" w:ascii="仿宋" w:hAnsi="仿宋" w:eastAsia="仿宋" w:cs="Times New Roman"/>
          <w:sz w:val="28"/>
          <w:szCs w:val="28"/>
        </w:rPr>
      </w:pPr>
      <w:r>
        <w:rPr>
          <w:rFonts w:hint="eastAsia" w:ascii="仿宋" w:hAnsi="仿宋" w:eastAsia="仿宋" w:cs="Times New Roman"/>
          <w:sz w:val="28"/>
          <w:szCs w:val="28"/>
        </w:rPr>
        <w:t>附件二：投标预审资料提交模板（点击文章末尾下载）</w:t>
      </w:r>
    </w:p>
    <w:p w14:paraId="7F00DDA1">
      <w:pPr>
        <w:spacing w:line="360" w:lineRule="auto"/>
        <w:jc w:val="right"/>
        <w:rPr>
          <w:rFonts w:hint="eastAsia" w:ascii="仿宋" w:hAnsi="仿宋" w:eastAsia="仿宋"/>
          <w:sz w:val="28"/>
          <w:szCs w:val="28"/>
        </w:rPr>
      </w:pPr>
      <w:r>
        <w:rPr>
          <w:rFonts w:hint="eastAsia" w:ascii="仿宋" w:hAnsi="仿宋" w:eastAsia="仿宋"/>
          <w:sz w:val="28"/>
          <w:szCs w:val="28"/>
        </w:rPr>
        <w:t>四川沱牌舍得营销有限公司</w:t>
      </w:r>
    </w:p>
    <w:p w14:paraId="35B884D7">
      <w:pPr>
        <w:spacing w:line="360" w:lineRule="auto"/>
        <w:ind w:right="640"/>
        <w:jc w:val="right"/>
        <w:rPr>
          <w:rFonts w:hint="eastAsia" w:ascii="仿宋" w:hAnsi="仿宋" w:eastAsia="仿宋"/>
          <w:sz w:val="28"/>
          <w:szCs w:val="28"/>
        </w:rPr>
      </w:pP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sz w:val="28"/>
          <w:szCs w:val="28"/>
          <w:lang w:val="en-US" w:eastAsia="zh-CN"/>
        </w:rPr>
        <w:t>1</w:t>
      </w:r>
      <w:r>
        <w:rPr>
          <w:rFonts w:hint="eastAsia" w:ascii="仿宋" w:hAnsi="仿宋" w:eastAsia="仿宋"/>
          <w:sz w:val="28"/>
          <w:szCs w:val="28"/>
        </w:rPr>
        <w:t>月</w:t>
      </w:r>
      <w:r>
        <w:rPr>
          <w:rFonts w:hint="eastAsia"/>
          <w:sz w:val="28"/>
          <w:szCs w:val="28"/>
          <w:lang w:val="en-US" w:eastAsia="zh-CN"/>
        </w:rPr>
        <w:t>27</w:t>
      </w:r>
      <w:r>
        <w:rPr>
          <w:rFonts w:hint="eastAsia" w:ascii="仿宋" w:hAnsi="仿宋" w:eastAsia="仿宋"/>
          <w:sz w:val="28"/>
          <w:szCs w:val="28"/>
        </w:rPr>
        <w:t>日</w:t>
      </w:r>
    </w:p>
    <w:p w14:paraId="6058EA86">
      <w:pPr>
        <w:rPr>
          <w:rFonts w:hint="eastAsia"/>
          <w:sz w:val="30"/>
          <w:szCs w:val="30"/>
        </w:rPr>
      </w:pPr>
      <w:r>
        <w:rPr>
          <w:rFonts w:hint="eastAsia"/>
          <w:sz w:val="30"/>
          <w:szCs w:val="30"/>
        </w:rPr>
        <w:t>附件一：</w:t>
      </w:r>
      <w:bookmarkStart w:id="1" w:name="_Hlk108623121"/>
      <w:r>
        <w:rPr>
          <w:sz w:val="30"/>
          <w:szCs w:val="30"/>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ind w:left="0" w:leftChars="0" w:firstLine="240" w:firstLineChars="100"/>
              <w:jc w:val="center"/>
              <w:rPr>
                <w:rFonts w:hint="eastAsia"/>
                <w:sz w:val="24"/>
                <w:szCs w:val="24"/>
              </w:rPr>
            </w:pPr>
            <w:r>
              <w:rPr>
                <w:sz w:val="24"/>
                <w:szCs w:val="24"/>
              </w:rPr>
              <w:t>序号</w:t>
            </w:r>
          </w:p>
        </w:tc>
        <w:tc>
          <w:tcPr>
            <w:tcW w:w="2747" w:type="dxa"/>
            <w:vAlign w:val="center"/>
          </w:tcPr>
          <w:p w14:paraId="4C7B6300">
            <w:pPr>
              <w:rPr>
                <w:rFonts w:hint="eastAsia"/>
                <w:sz w:val="24"/>
                <w:szCs w:val="24"/>
              </w:rPr>
            </w:pPr>
            <w:r>
              <w:rPr>
                <w:rFonts w:hint="eastAsia"/>
                <w:sz w:val="24"/>
                <w:szCs w:val="24"/>
              </w:rPr>
              <w:t>内容</w:t>
            </w:r>
          </w:p>
        </w:tc>
        <w:tc>
          <w:tcPr>
            <w:tcW w:w="6540" w:type="dxa"/>
            <w:vAlign w:val="center"/>
          </w:tcPr>
          <w:p w14:paraId="3491E67F">
            <w:pPr>
              <w:rPr>
                <w:rFonts w:hint="eastAsia"/>
                <w:sz w:val="24"/>
                <w:szCs w:val="24"/>
              </w:rPr>
            </w:pPr>
            <w:r>
              <w:rPr>
                <w:sz w:val="24"/>
                <w:szCs w:val="24"/>
              </w:rP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jc w:val="center"/>
              <w:rPr>
                <w:rFonts w:hint="eastAsia"/>
                <w:sz w:val="24"/>
                <w:szCs w:val="24"/>
              </w:rPr>
            </w:pPr>
            <w:r>
              <w:rPr>
                <w:sz w:val="24"/>
                <w:szCs w:val="24"/>
              </w:rPr>
              <w:t>1</w:t>
            </w:r>
          </w:p>
        </w:tc>
        <w:tc>
          <w:tcPr>
            <w:tcW w:w="2747" w:type="dxa"/>
            <w:vAlign w:val="center"/>
          </w:tcPr>
          <w:p w14:paraId="3689D266">
            <w:pPr>
              <w:rPr>
                <w:rFonts w:hint="eastAsia"/>
                <w:sz w:val="24"/>
                <w:szCs w:val="24"/>
              </w:rPr>
            </w:pPr>
            <w:r>
              <w:rPr>
                <w:rFonts w:hint="eastAsia"/>
                <w:sz w:val="24"/>
                <w:szCs w:val="24"/>
              </w:rPr>
              <w:t>授权委托书</w:t>
            </w:r>
          </w:p>
        </w:tc>
        <w:tc>
          <w:tcPr>
            <w:tcW w:w="6540" w:type="dxa"/>
            <w:vAlign w:val="center"/>
          </w:tcPr>
          <w:p w14:paraId="605970DD">
            <w:pPr>
              <w:rPr>
                <w:rFonts w:hint="eastAsia"/>
                <w:sz w:val="24"/>
                <w:szCs w:val="24"/>
              </w:rPr>
            </w:pPr>
            <w:r>
              <w:rPr>
                <w:rFonts w:hint="eastAsia"/>
                <w:sz w:val="24"/>
                <w:szCs w:val="24"/>
              </w:rPr>
              <w:t>能提供有效的授权委托书（格式见附件二）</w:t>
            </w:r>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1076" w:type="dxa"/>
            <w:vAlign w:val="center"/>
          </w:tcPr>
          <w:p w14:paraId="0DDF09E2">
            <w:pPr>
              <w:jc w:val="center"/>
              <w:rPr>
                <w:rFonts w:hint="eastAsia"/>
                <w:sz w:val="24"/>
                <w:szCs w:val="24"/>
              </w:rPr>
            </w:pPr>
            <w:r>
              <w:rPr>
                <w:sz w:val="24"/>
                <w:szCs w:val="24"/>
              </w:rPr>
              <w:t>2</w:t>
            </w:r>
          </w:p>
        </w:tc>
        <w:tc>
          <w:tcPr>
            <w:tcW w:w="2747" w:type="dxa"/>
            <w:vAlign w:val="center"/>
          </w:tcPr>
          <w:p w14:paraId="408ADED2">
            <w:pPr>
              <w:rPr>
                <w:rFonts w:hint="eastAsia"/>
                <w:sz w:val="24"/>
                <w:szCs w:val="24"/>
              </w:rPr>
            </w:pPr>
            <w:r>
              <w:rPr>
                <w:rFonts w:hint="eastAsia"/>
                <w:sz w:val="24"/>
                <w:szCs w:val="24"/>
              </w:rPr>
              <w:t>资质要求</w:t>
            </w:r>
          </w:p>
        </w:tc>
        <w:tc>
          <w:tcPr>
            <w:tcW w:w="6540" w:type="dxa"/>
            <w:vAlign w:val="center"/>
          </w:tcPr>
          <w:p w14:paraId="58866C94">
            <w:pPr>
              <w:pStyle w:val="2"/>
              <w:rPr>
                <w:rFonts w:hint="eastAsia" w:ascii="仿宋" w:hAnsi="仿宋" w:eastAsia="仿宋" w:cs="仿宋"/>
                <w:b w:val="0"/>
                <w:bCs w:val="0"/>
                <w:sz w:val="24"/>
                <w:szCs w:val="24"/>
              </w:rPr>
            </w:pPr>
            <w:r>
              <w:rPr>
                <w:rFonts w:hint="eastAsia" w:ascii="仿宋" w:hAnsi="仿宋" w:eastAsia="仿宋" w:cs="仿宋"/>
                <w:b w:val="0"/>
                <w:bCs w:val="0"/>
                <w:sz w:val="24"/>
                <w:szCs w:val="24"/>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33C67921">
            <w:pPr>
              <w:pStyle w:val="2"/>
              <w:rPr>
                <w:sz w:val="24"/>
                <w:szCs w:val="24"/>
              </w:rPr>
            </w:pPr>
            <w:r>
              <w:rPr>
                <w:rFonts w:hint="eastAsia" w:ascii="仿宋" w:hAnsi="仿宋" w:eastAsia="仿宋" w:cs="仿宋"/>
                <w:b w:val="0"/>
                <w:bCs w:val="0"/>
                <w:sz w:val="24"/>
                <w:szCs w:val="24"/>
              </w:rPr>
              <w:t>注册资金不少于人民币500万元，具有良好银行资信和商业信誉。</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jc w:val="center"/>
              <w:rPr>
                <w:rFonts w:hint="eastAsia"/>
                <w:sz w:val="24"/>
                <w:szCs w:val="24"/>
              </w:rPr>
            </w:pPr>
            <w:r>
              <w:rPr>
                <w:sz w:val="24"/>
                <w:szCs w:val="24"/>
              </w:rPr>
              <w:t>3</w:t>
            </w:r>
          </w:p>
        </w:tc>
        <w:tc>
          <w:tcPr>
            <w:tcW w:w="2747" w:type="dxa"/>
            <w:vAlign w:val="center"/>
          </w:tcPr>
          <w:p w14:paraId="1C020BBB">
            <w:pPr>
              <w:rPr>
                <w:rFonts w:hint="eastAsia"/>
                <w:sz w:val="24"/>
                <w:szCs w:val="24"/>
              </w:rPr>
            </w:pPr>
            <w:r>
              <w:rPr>
                <w:rFonts w:hint="eastAsia"/>
                <w:sz w:val="24"/>
                <w:szCs w:val="24"/>
              </w:rPr>
              <w:t>投标要求</w:t>
            </w:r>
          </w:p>
        </w:tc>
        <w:tc>
          <w:tcPr>
            <w:tcW w:w="6540" w:type="dxa"/>
            <w:vAlign w:val="center"/>
          </w:tcPr>
          <w:p w14:paraId="1588CDB1">
            <w:pPr>
              <w:rPr>
                <w:rFonts w:hint="eastAsia"/>
                <w:sz w:val="24"/>
                <w:szCs w:val="24"/>
              </w:rPr>
            </w:pPr>
            <w:r>
              <w:rPr>
                <w:rFonts w:hint="eastAsia"/>
                <w:sz w:val="24"/>
                <w:szCs w:val="24"/>
              </w:rPr>
              <w:t>本项目不接受挂靠、分包、转包、联合体单位参与投标，投标人需出具承诺书</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jc w:val="center"/>
              <w:rPr>
                <w:rFonts w:hint="eastAsia"/>
                <w:sz w:val="24"/>
                <w:szCs w:val="24"/>
              </w:rPr>
            </w:pPr>
            <w:r>
              <w:rPr>
                <w:rFonts w:hint="eastAsia"/>
                <w:sz w:val="24"/>
                <w:szCs w:val="24"/>
              </w:rPr>
              <w:t>4</w:t>
            </w:r>
          </w:p>
        </w:tc>
        <w:tc>
          <w:tcPr>
            <w:tcW w:w="2747" w:type="dxa"/>
            <w:vAlign w:val="center"/>
          </w:tcPr>
          <w:p w14:paraId="251ED73D">
            <w:pPr>
              <w:rPr>
                <w:rFonts w:hint="eastAsia"/>
                <w:sz w:val="24"/>
                <w:szCs w:val="24"/>
              </w:rPr>
            </w:pPr>
            <w:r>
              <w:rPr>
                <w:rFonts w:hint="eastAsia"/>
                <w:sz w:val="24"/>
                <w:szCs w:val="24"/>
              </w:rPr>
              <w:t>业绩要求</w:t>
            </w:r>
          </w:p>
        </w:tc>
        <w:tc>
          <w:tcPr>
            <w:tcW w:w="6540" w:type="dxa"/>
            <w:vAlign w:val="center"/>
          </w:tcPr>
          <w:p w14:paraId="2B340838">
            <w:pPr>
              <w:rPr>
                <w:rFonts w:hint="eastAsia" w:eastAsia="仿宋"/>
                <w:sz w:val="24"/>
                <w:szCs w:val="24"/>
                <w:lang w:eastAsia="zh-CN"/>
              </w:rPr>
            </w:pPr>
            <w:r>
              <w:rPr>
                <w:rFonts w:hint="eastAsia"/>
                <w:sz w:val="24"/>
                <w:szCs w:val="24"/>
              </w:rPr>
              <w:t>拥有丰富的广告（户外类）投放经验，至少提供2021年至今，3个（含）以上与本项目同类型资源投放的成功案例合同，单个合同金额不低于20万。需提供合同关键页扫描件证明（甲乙方名称及双方盖章可见，合同主要内容概述、金额、时间可见）及发票</w:t>
            </w:r>
            <w:r>
              <w:rPr>
                <w:rFonts w:hint="eastAsia"/>
                <w:sz w:val="24"/>
                <w:szCs w:val="24"/>
                <w:lang w:eastAsia="zh-CN"/>
              </w:rPr>
              <w:t>。</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jc w:val="center"/>
              <w:rPr>
                <w:rFonts w:hint="eastAsia"/>
                <w:sz w:val="24"/>
                <w:szCs w:val="24"/>
              </w:rPr>
            </w:pPr>
            <w:r>
              <w:rPr>
                <w:sz w:val="24"/>
                <w:szCs w:val="24"/>
              </w:rPr>
              <w:t>5</w:t>
            </w:r>
          </w:p>
        </w:tc>
        <w:tc>
          <w:tcPr>
            <w:tcW w:w="2747" w:type="dxa"/>
            <w:vAlign w:val="center"/>
          </w:tcPr>
          <w:p w14:paraId="19F38B2F">
            <w:pPr>
              <w:rPr>
                <w:rFonts w:hint="eastAsia"/>
                <w:sz w:val="24"/>
                <w:szCs w:val="24"/>
              </w:rPr>
            </w:pPr>
            <w:r>
              <w:rPr>
                <w:rFonts w:hint="eastAsia"/>
                <w:sz w:val="24"/>
                <w:szCs w:val="24"/>
              </w:rPr>
              <w:t>其他</w:t>
            </w:r>
          </w:p>
        </w:tc>
        <w:tc>
          <w:tcPr>
            <w:tcW w:w="6540" w:type="dxa"/>
            <w:vAlign w:val="center"/>
          </w:tcPr>
          <w:p w14:paraId="2F2F450B">
            <w:pPr>
              <w:rPr>
                <w:rFonts w:hint="eastAsia" w:cs="宋体"/>
                <w:kern w:val="0"/>
                <w:sz w:val="24"/>
                <w:szCs w:val="24"/>
              </w:rPr>
            </w:pPr>
            <w:r>
              <w:rPr>
                <w:rFonts w:hint="eastAsia" w:cs="宋体"/>
                <w:kern w:val="0"/>
                <w:sz w:val="24"/>
                <w:szCs w:val="24"/>
              </w:rPr>
              <w:t>能提供真实、有效的</w:t>
            </w:r>
            <w:r>
              <w:rPr>
                <w:rFonts w:hint="eastAsia"/>
                <w:sz w:val="24"/>
                <w:szCs w:val="24"/>
              </w:rPr>
              <w:t>《采购项目供应商资格审核明细表》（格式见附件二）</w:t>
            </w:r>
          </w:p>
        </w:tc>
      </w:tr>
    </w:tbl>
    <w:p w14:paraId="031156A7">
      <w:pPr>
        <w:rPr>
          <w:rFonts w:hint="eastAsia"/>
          <w:sz w:val="28"/>
          <w:szCs w:val="28"/>
        </w:rPr>
      </w:pPr>
      <w:r>
        <w:rPr>
          <w:sz w:val="28"/>
          <w:szCs w:val="28"/>
        </w:rPr>
        <w:t>注</w:t>
      </w:r>
      <w:r>
        <w:rPr>
          <w:rFonts w:hint="eastAsia"/>
          <w:sz w:val="28"/>
          <w:szCs w:val="28"/>
        </w:rPr>
        <w:t>：1、投标</w:t>
      </w:r>
      <w:r>
        <w:rPr>
          <w:sz w:val="28"/>
          <w:szCs w:val="28"/>
        </w:rPr>
        <w:t>人不满足上述资格条件中的任一条</w:t>
      </w:r>
      <w:r>
        <w:rPr>
          <w:rFonts w:hint="eastAsia"/>
          <w:sz w:val="28"/>
          <w:szCs w:val="28"/>
        </w:rPr>
        <w:t>或在本项目涉及的相关行业有不良记录，以及曾为招标人提供相关服务但被评估为不合格或存在不良履约记录的，</w:t>
      </w:r>
      <w:r>
        <w:rPr>
          <w:sz w:val="28"/>
          <w:szCs w:val="28"/>
        </w:rPr>
        <w:t>其投标将被拒绝</w:t>
      </w:r>
      <w:r>
        <w:rPr>
          <w:rFonts w:hint="eastAsia"/>
          <w:sz w:val="28"/>
          <w:szCs w:val="28"/>
        </w:rPr>
        <w:t>。</w:t>
      </w:r>
    </w:p>
    <w:p w14:paraId="4B35EBA1">
      <w:pPr>
        <w:rPr>
          <w:rFonts w:hint="eastAsia"/>
          <w:sz w:val="28"/>
          <w:szCs w:val="28"/>
        </w:rPr>
      </w:pPr>
      <w:r>
        <w:rPr>
          <w:rFonts w:hint="eastAsia"/>
          <w:sz w:val="28"/>
          <w:szCs w:val="28"/>
        </w:rPr>
        <w:t>2、投标</w:t>
      </w:r>
      <w:r>
        <w:rPr>
          <w:sz w:val="28"/>
          <w:szCs w:val="28"/>
        </w:rPr>
        <w:t>人</w:t>
      </w:r>
      <w:r>
        <w:rPr>
          <w:rFonts w:hint="eastAsia"/>
          <w:sz w:val="28"/>
          <w:szCs w:val="28"/>
        </w:rPr>
        <w:t>提交的上述资料需真实、有效，且文字清晰、可辨认。</w:t>
      </w:r>
    </w:p>
    <w:p w14:paraId="6E9D6AB6">
      <w:pPr>
        <w:rPr>
          <w:rFonts w:hint="eastAsia"/>
          <w:sz w:val="28"/>
          <w:szCs w:val="28"/>
        </w:rPr>
      </w:pPr>
      <w:r>
        <w:rPr>
          <w:rFonts w:hint="eastAsia"/>
          <w:sz w:val="28"/>
          <w:szCs w:val="28"/>
        </w:rPr>
        <w:t>3、除《附件一》中要求提供的文件外，可以另外提供投标人认为有必要的其他资质文件。</w:t>
      </w:r>
    </w:p>
    <w:p w14:paraId="2813B630">
      <w:pPr>
        <w:rPr>
          <w:rFonts w:hint="eastAsia"/>
          <w:sz w:val="30"/>
          <w:szCs w:val="3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7CD7BA4"/>
    <w:rsid w:val="0CD7653F"/>
    <w:rsid w:val="1E18008F"/>
    <w:rsid w:val="21737800"/>
    <w:rsid w:val="21CB7332"/>
    <w:rsid w:val="24F26475"/>
    <w:rsid w:val="319B6CE9"/>
    <w:rsid w:val="38976D11"/>
    <w:rsid w:val="532A1909"/>
    <w:rsid w:val="55BB2621"/>
    <w:rsid w:val="5B580608"/>
    <w:rsid w:val="5C550D5E"/>
    <w:rsid w:val="6C5466EC"/>
    <w:rsid w:val="6D190953"/>
    <w:rsid w:val="765D7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1973</Words>
  <Characters>2187</Characters>
  <Lines>16</Lines>
  <Paragraphs>4</Paragraphs>
  <TotalTime>0</TotalTime>
  <ScaleCrop>false</ScaleCrop>
  <LinksUpToDate>false</LinksUpToDate>
  <CharactersWithSpaces>2207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2025-01-27T04:16:16Z</dcterms:modified>
  <dc:subject>仓储容器招标邀请</dc:subject>
  <dc:title>招标文件编号：20800008</dc:title>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