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lang w:eastAsia="zh-CN"/>
        </w:rPr>
        <w:t>项目</w:t>
      </w:r>
      <w:r>
        <w:rPr>
          <w:rFonts w:hint="eastAsia" w:ascii="仿宋" w:hAnsi="仿宋" w:eastAsia="仿宋"/>
          <w:sz w:val="32"/>
          <w:szCs w:val="32"/>
          <w:lang w:val="en-US" w:eastAsia="zh-CN"/>
        </w:rPr>
        <w:t>名称</w:t>
      </w:r>
      <w:r>
        <w:rPr>
          <w:rFonts w:hint="eastAsia" w:ascii="仿宋" w:hAnsi="仿宋" w:eastAsia="仿宋"/>
          <w:sz w:val="32"/>
          <w:szCs w:val="32"/>
        </w:rPr>
        <w:t>：</w:t>
      </w:r>
      <w:r>
        <w:rPr>
          <w:rFonts w:hint="eastAsia" w:ascii="仿宋" w:hAnsi="仿宋" w:eastAsia="仿宋" w:cs="仿宋"/>
          <w:kern w:val="2"/>
          <w:sz w:val="32"/>
          <w:szCs w:val="32"/>
          <w:lang w:val="en-US" w:eastAsia="zh-CN" w:bidi="ar"/>
        </w:rPr>
        <w:t>2025年春糖户外广告投放项目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5641D8F7">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7D6FA13">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_Toc21532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_Toc21532 \h </w:instrText>
          </w:r>
          <w:r>
            <w:fldChar w:fldCharType="separate"/>
          </w:r>
          <w:r>
            <w:t>1</w:t>
          </w:r>
          <w:r>
            <w:fldChar w:fldCharType="end"/>
          </w:r>
          <w:r>
            <w:rPr>
              <w:rFonts w:hint="eastAsia" w:ascii="仿宋" w:hAnsi="仿宋" w:cs="仿宋"/>
              <w:bCs/>
              <w:szCs w:val="28"/>
            </w:rPr>
            <w:fldChar w:fldCharType="end"/>
          </w:r>
        </w:p>
        <w:p w14:paraId="1F922D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_Toc23420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_Toc23420 \h </w:instrText>
          </w:r>
          <w:r>
            <w:fldChar w:fldCharType="separate"/>
          </w:r>
          <w:r>
            <w:t>2</w:t>
          </w:r>
          <w:r>
            <w:fldChar w:fldCharType="end"/>
          </w:r>
          <w:r>
            <w:rPr>
              <w:rFonts w:hint="eastAsia" w:ascii="仿宋" w:hAnsi="仿宋" w:cs="仿宋"/>
              <w:szCs w:val="28"/>
            </w:rPr>
            <w:fldChar w:fldCharType="end"/>
          </w:r>
        </w:p>
        <w:p w14:paraId="715BD0B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_Toc32307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_Toc32307 \h </w:instrText>
          </w:r>
          <w:r>
            <w:fldChar w:fldCharType="separate"/>
          </w:r>
          <w:r>
            <w:t>2</w:t>
          </w:r>
          <w:r>
            <w:fldChar w:fldCharType="end"/>
          </w:r>
          <w:r>
            <w:rPr>
              <w:rFonts w:hint="eastAsia" w:ascii="仿宋" w:hAnsi="仿宋" w:cs="仿宋"/>
              <w:szCs w:val="28"/>
            </w:rPr>
            <w:fldChar w:fldCharType="end"/>
          </w:r>
        </w:p>
        <w:p w14:paraId="438069A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_Toc12660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_Toc12660 \h </w:instrText>
          </w:r>
          <w:r>
            <w:fldChar w:fldCharType="separate"/>
          </w:r>
          <w:r>
            <w:t>3</w:t>
          </w:r>
          <w:r>
            <w:fldChar w:fldCharType="end"/>
          </w:r>
          <w:r>
            <w:rPr>
              <w:rFonts w:hint="eastAsia" w:ascii="仿宋" w:hAnsi="仿宋" w:cs="仿宋"/>
              <w:szCs w:val="28"/>
            </w:rPr>
            <w:fldChar w:fldCharType="end"/>
          </w:r>
        </w:p>
        <w:p w14:paraId="249F68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_Toc13233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_Toc13233 \h </w:instrText>
          </w:r>
          <w:r>
            <w:fldChar w:fldCharType="separate"/>
          </w:r>
          <w:r>
            <w:t>3</w:t>
          </w:r>
          <w:r>
            <w:fldChar w:fldCharType="end"/>
          </w:r>
          <w:r>
            <w:rPr>
              <w:rFonts w:hint="eastAsia" w:ascii="仿宋" w:hAnsi="仿宋" w:cs="仿宋"/>
              <w:szCs w:val="28"/>
            </w:rPr>
            <w:fldChar w:fldCharType="end"/>
          </w:r>
        </w:p>
        <w:p w14:paraId="4E29DB4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_Toc20077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_Toc20077 \h </w:instrText>
          </w:r>
          <w:r>
            <w:fldChar w:fldCharType="separate"/>
          </w:r>
          <w:r>
            <w:t>4</w:t>
          </w:r>
          <w:r>
            <w:fldChar w:fldCharType="end"/>
          </w:r>
          <w:r>
            <w:rPr>
              <w:rFonts w:hint="eastAsia" w:ascii="仿宋" w:hAnsi="仿宋" w:cs="仿宋"/>
              <w:szCs w:val="28"/>
            </w:rPr>
            <w:fldChar w:fldCharType="end"/>
          </w:r>
        </w:p>
        <w:p w14:paraId="1E8ABDB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_Toc31118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_Toc31118 \h </w:instrText>
          </w:r>
          <w:r>
            <w:fldChar w:fldCharType="separate"/>
          </w:r>
          <w:r>
            <w:t>5</w:t>
          </w:r>
          <w:r>
            <w:fldChar w:fldCharType="end"/>
          </w:r>
          <w:r>
            <w:rPr>
              <w:rFonts w:hint="eastAsia" w:ascii="仿宋" w:hAnsi="仿宋" w:cs="仿宋"/>
              <w:szCs w:val="28"/>
            </w:rPr>
            <w:fldChar w:fldCharType="end"/>
          </w:r>
        </w:p>
        <w:p w14:paraId="3BA02D7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_Toc10016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_Toc10016 \h </w:instrText>
          </w:r>
          <w:r>
            <w:fldChar w:fldCharType="separate"/>
          </w:r>
          <w:r>
            <w:t>7</w:t>
          </w:r>
          <w:r>
            <w:fldChar w:fldCharType="end"/>
          </w:r>
          <w:r>
            <w:rPr>
              <w:rFonts w:hint="eastAsia" w:ascii="仿宋" w:hAnsi="仿宋" w:cs="仿宋"/>
              <w:szCs w:val="28"/>
            </w:rPr>
            <w:fldChar w:fldCharType="end"/>
          </w:r>
        </w:p>
        <w:p w14:paraId="787D639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_Toc28346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_Toc28346 \h </w:instrText>
          </w:r>
          <w:r>
            <w:fldChar w:fldCharType="separate"/>
          </w:r>
          <w:r>
            <w:t>7</w:t>
          </w:r>
          <w:r>
            <w:fldChar w:fldCharType="end"/>
          </w:r>
          <w:r>
            <w:rPr>
              <w:rFonts w:hint="eastAsia" w:ascii="仿宋" w:hAnsi="仿宋" w:cs="仿宋"/>
              <w:szCs w:val="28"/>
            </w:rPr>
            <w:fldChar w:fldCharType="end"/>
          </w:r>
        </w:p>
        <w:p w14:paraId="0811A3A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_Toc20333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_Toc20333 \h </w:instrText>
          </w:r>
          <w:r>
            <w:fldChar w:fldCharType="separate"/>
          </w:r>
          <w:r>
            <w:t>7</w:t>
          </w:r>
          <w:r>
            <w:fldChar w:fldCharType="end"/>
          </w:r>
          <w:r>
            <w:rPr>
              <w:rFonts w:hint="eastAsia" w:ascii="仿宋" w:hAnsi="仿宋" w:cs="仿宋"/>
              <w:szCs w:val="28"/>
            </w:rPr>
            <w:fldChar w:fldCharType="end"/>
          </w:r>
        </w:p>
        <w:p w14:paraId="3FBB206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_Toc19838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_Toc19838 \h </w:instrText>
          </w:r>
          <w:r>
            <w:fldChar w:fldCharType="separate"/>
          </w:r>
          <w:r>
            <w:t>7</w:t>
          </w:r>
          <w:r>
            <w:fldChar w:fldCharType="end"/>
          </w:r>
          <w:r>
            <w:rPr>
              <w:rFonts w:hint="eastAsia" w:ascii="仿宋" w:hAnsi="仿宋" w:cs="仿宋"/>
              <w:szCs w:val="28"/>
            </w:rPr>
            <w:fldChar w:fldCharType="end"/>
          </w:r>
        </w:p>
        <w:p w14:paraId="3AA73B7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_Toc24253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_Toc24253 \h </w:instrText>
          </w:r>
          <w:r>
            <w:fldChar w:fldCharType="separate"/>
          </w:r>
          <w:r>
            <w:t>8</w:t>
          </w:r>
          <w:r>
            <w:fldChar w:fldCharType="end"/>
          </w:r>
          <w:r>
            <w:rPr>
              <w:rFonts w:hint="eastAsia" w:ascii="仿宋" w:hAnsi="仿宋" w:cs="仿宋"/>
              <w:szCs w:val="28"/>
            </w:rPr>
            <w:fldChar w:fldCharType="end"/>
          </w:r>
        </w:p>
        <w:p w14:paraId="4594A8F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_Toc1244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_Toc1244 \h </w:instrText>
          </w:r>
          <w:r>
            <w:fldChar w:fldCharType="separate"/>
          </w:r>
          <w:r>
            <w:t>8</w:t>
          </w:r>
          <w:r>
            <w:fldChar w:fldCharType="end"/>
          </w:r>
          <w:r>
            <w:rPr>
              <w:rFonts w:hint="eastAsia" w:ascii="仿宋" w:hAnsi="仿宋" w:cs="仿宋"/>
              <w:szCs w:val="28"/>
            </w:rPr>
            <w:fldChar w:fldCharType="end"/>
          </w:r>
        </w:p>
        <w:p w14:paraId="78248DD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_Toc20572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_Toc20572 \h </w:instrText>
          </w:r>
          <w:r>
            <w:fldChar w:fldCharType="separate"/>
          </w:r>
          <w:r>
            <w:t>11</w:t>
          </w:r>
          <w:r>
            <w:fldChar w:fldCharType="end"/>
          </w:r>
          <w:r>
            <w:rPr>
              <w:rFonts w:hint="eastAsia" w:ascii="仿宋" w:hAnsi="仿宋" w:cs="仿宋"/>
              <w:szCs w:val="28"/>
            </w:rPr>
            <w:fldChar w:fldCharType="end"/>
          </w:r>
        </w:p>
        <w:p w14:paraId="044346A2">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w:t>
      </w:r>
      <w:r>
        <w:rPr>
          <w:rFonts w:hint="eastAsia" w:ascii="仿宋" w:hAnsi="仿宋" w:eastAsia="仿宋" w:cs="仿宋"/>
          <w:kern w:val="2"/>
          <w:sz w:val="21"/>
          <w:szCs w:val="21"/>
          <w:lang w:val="en-US" w:eastAsia="zh-CN"/>
        </w:rPr>
        <w:t>并汇总至一个文件内，文件</w:t>
      </w:r>
      <w:r>
        <w:rPr>
          <w:rFonts w:hint="eastAsia" w:ascii="仿宋" w:hAnsi="仿宋" w:eastAsia="仿宋" w:cs="仿宋"/>
          <w:kern w:val="2"/>
          <w:sz w:val="21"/>
          <w:szCs w:val="21"/>
        </w:rPr>
        <w:t>每页须盖公章。</w:t>
      </w:r>
    </w:p>
    <w:p w14:paraId="48E216B8">
      <w:pPr>
        <w:pStyle w:val="17"/>
        <w:numPr>
          <w:ilvl w:val="0"/>
          <w:numId w:val="2"/>
        </w:numPr>
        <w:rPr>
          <w:rFonts w:hint="eastAsia" w:ascii="仿宋" w:hAnsi="仿宋" w:eastAsia="仿宋"/>
          <w:highlight w:val="none"/>
        </w:rPr>
      </w:pPr>
      <w:r>
        <w:rPr>
          <w:rFonts w:hint="eastAsia" w:ascii="仿宋" w:hAnsi="仿宋" w:eastAsia="仿宋"/>
          <w:highlight w:val="none"/>
        </w:rPr>
        <w:t>须提供</w:t>
      </w:r>
      <w:r>
        <w:rPr>
          <w:rFonts w:hint="eastAsia" w:ascii="仿宋" w:hAnsi="仿宋" w:eastAsia="仿宋"/>
          <w:b/>
          <w:bCs/>
          <w:color w:val="FF0000"/>
          <w:highlight w:val="none"/>
        </w:rPr>
        <w:t>可编辑的word版本</w:t>
      </w:r>
      <w:r>
        <w:rPr>
          <w:rFonts w:hint="eastAsia" w:ascii="仿宋" w:hAnsi="仿宋" w:eastAsia="仿宋"/>
          <w:highlight w:val="none"/>
        </w:rPr>
        <w:t>及</w:t>
      </w:r>
      <w:r>
        <w:rPr>
          <w:rFonts w:hint="eastAsia" w:ascii="仿宋" w:hAnsi="仿宋" w:eastAsia="仿宋"/>
          <w:b/>
          <w:bCs/>
          <w:color w:val="FF0000"/>
          <w:highlight w:val="none"/>
        </w:rPr>
        <w:t>盖章的P</w:t>
      </w:r>
      <w:r>
        <w:rPr>
          <w:rFonts w:ascii="仿宋" w:hAnsi="仿宋" w:eastAsia="仿宋"/>
          <w:b/>
          <w:bCs/>
          <w:color w:val="FF0000"/>
          <w:highlight w:val="none"/>
        </w:rPr>
        <w:t>DF</w:t>
      </w:r>
      <w:r>
        <w:rPr>
          <w:rFonts w:hint="eastAsia" w:ascii="仿宋" w:hAnsi="仿宋" w:eastAsia="仿宋"/>
          <w:b/>
          <w:bCs/>
          <w:color w:val="FF0000"/>
          <w:highlight w:val="none"/>
        </w:rPr>
        <w:t>版本</w:t>
      </w:r>
      <w:r>
        <w:rPr>
          <w:rFonts w:hint="eastAsia" w:ascii="仿宋" w:hAnsi="仿宋" w:eastAsia="仿宋"/>
          <w:highlight w:val="none"/>
        </w:rPr>
        <w:t>。</w:t>
      </w:r>
    </w:p>
    <w:p w14:paraId="248E6C09">
      <w:pPr>
        <w:pStyle w:val="3"/>
        <w:numPr>
          <w:ilvl w:val="0"/>
          <w:numId w:val="1"/>
        </w:numPr>
        <w:ind w:left="-567" w:leftChars="-270" w:firstLine="565" w:firstLineChars="176"/>
        <w:rPr>
          <w:rFonts w:hint="eastAsia" w:ascii="仿宋" w:hAnsi="仿宋"/>
        </w:rPr>
      </w:pPr>
      <w:bookmarkStart w:id="0" w:name="_Toc2153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3"/>
        <w:numPr>
          <w:ilvl w:val="0"/>
          <w:numId w:val="1"/>
        </w:numPr>
        <w:rPr>
          <w:rFonts w:hint="eastAsia" w:ascii="仿宋" w:hAnsi="仿宋"/>
        </w:rPr>
      </w:pPr>
      <w:bookmarkStart w:id="1" w:name="_Toc23420"/>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3"/>
        <w:numPr>
          <w:ilvl w:val="0"/>
          <w:numId w:val="1"/>
        </w:numPr>
        <w:rPr>
          <w:rFonts w:hint="eastAsia" w:ascii="仿宋" w:hAnsi="仿宋"/>
        </w:rPr>
      </w:pPr>
      <w:bookmarkStart w:id="2" w:name="_Toc32307"/>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2025年春糖户外广告投放项目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3"/>
        <w:numPr>
          <w:ilvl w:val="0"/>
          <w:numId w:val="1"/>
        </w:numPr>
        <w:rPr>
          <w:rFonts w:hint="eastAsia" w:ascii="仿宋" w:hAnsi="仿宋"/>
        </w:rPr>
      </w:pPr>
      <w:bookmarkStart w:id="3" w:name="_Toc12660"/>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提供最近时间被委托人社保缴纳证明，须体现社保缴纳公司（与投标人一致）。如由第三方机构代缴，还须提供投标人与第三方代缴机构的服务合同（可脱敏）</w:t>
      </w:r>
    </w:p>
    <w:p w14:paraId="0FC657AB">
      <w:pPr>
        <w:pStyle w:val="3"/>
        <w:numPr>
          <w:ilvl w:val="0"/>
          <w:numId w:val="1"/>
        </w:numPr>
        <w:rPr>
          <w:rFonts w:hint="eastAsia" w:ascii="仿宋" w:hAnsi="仿宋"/>
        </w:rPr>
      </w:pPr>
      <w:bookmarkStart w:id="4" w:name="_Toc1323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kern w:val="2"/>
          <w:sz w:val="24"/>
          <w:szCs w:val="24"/>
          <w:u w:val="single"/>
          <w:lang w:val="en-US" w:eastAsia="zh-CN" w:bidi="ar"/>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lang w:eastAsia="zh-CN"/>
        </w:rPr>
        <w:t>2025年春糖户外广告投放项目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u w:val="single"/>
        </w:rPr>
        <w:t>不采用</w:t>
      </w:r>
      <w:r>
        <w:rPr>
          <w:rFonts w:hint="eastAsia" w:ascii="仿宋" w:hAnsi="仿宋" w:eastAsia="仿宋"/>
          <w:i w:val="0"/>
          <w:iCs w:val="0"/>
          <w:highlight w:val="none"/>
          <w:u w:val="single"/>
        </w:rPr>
        <w:t>挂靠、分包、转包、联合体方式参与投</w:t>
      </w:r>
      <w:r>
        <w:rPr>
          <w:rFonts w:hint="eastAsia" w:ascii="仿宋" w:hAnsi="仿宋" w:eastAsia="仿宋"/>
          <w:u w:val="single"/>
        </w:rPr>
        <w:t>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3"/>
        <w:numPr>
          <w:ilvl w:val="0"/>
          <w:numId w:val="1"/>
        </w:numPr>
        <w:rPr>
          <w:rFonts w:hint="eastAsia" w:ascii="仿宋" w:hAnsi="仿宋"/>
          <w:lang w:bidi="en-US"/>
        </w:rPr>
      </w:pPr>
      <w:bookmarkStart w:id="5" w:name="_Toc20077"/>
      <w:r>
        <w:rPr>
          <w:rFonts w:hint="eastAsia" w:ascii="仿宋" w:hAnsi="仿宋"/>
          <w:lang w:bidi="en-US"/>
        </w:rPr>
        <w:t>廉洁保密承诺书</w:t>
      </w:r>
      <w:bookmarkEnd w:id="5"/>
    </w:p>
    <w:p w14:paraId="64F8A7FD">
      <w:pPr>
        <w:rPr>
          <w:rFonts w:hint="eastAsia" w:ascii="仿宋" w:hAnsi="仿宋" w:eastAsia="仿宋"/>
          <w:lang w:bidi="en-US"/>
        </w:rPr>
      </w:pPr>
    </w:p>
    <w:p w14:paraId="19AE9EA2">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kern w:val="2"/>
          <w:sz w:val="24"/>
          <w:szCs w:val="24"/>
          <w:u w:val="single"/>
          <w:lang w:val="en-US" w:eastAsia="zh-CN" w:bidi="ar"/>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3"/>
        <w:numPr>
          <w:ilvl w:val="0"/>
          <w:numId w:val="1"/>
        </w:numPr>
        <w:rPr>
          <w:rFonts w:hint="eastAsia" w:ascii="仿宋" w:hAnsi="仿宋" w:eastAsia="仿宋" w:cs="仿宋"/>
          <w:lang w:bidi="en-US"/>
        </w:rPr>
      </w:pPr>
      <w:bookmarkStart w:id="6" w:name="_Toc31118"/>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68B1986A">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003107C2">
      <w:pPr>
        <w:widowControl/>
        <w:ind w:firstLine="3132" w:firstLineChars="1300"/>
        <w:jc w:val="left"/>
        <w:rPr>
          <w:rFonts w:hint="eastAsia" w:ascii="仿宋" w:hAnsi="仿宋" w:eastAsia="仿宋" w:cs="仿宋"/>
          <w:b/>
          <w:color w:val="000000"/>
          <w:kern w:val="0"/>
          <w:sz w:val="24"/>
          <w:lang w:bidi="ar"/>
        </w:rPr>
      </w:pPr>
    </w:p>
    <w:p w14:paraId="74034A8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81A467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02D39F1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23DD64A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0739F7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仿宋" w:hAnsi="仿宋" w:eastAsia="仿宋" w:cs="仿宋"/>
          <w:b/>
          <w:color w:val="000000"/>
          <w:kern w:val="0"/>
          <w:sz w:val="22"/>
          <w:szCs w:val="22"/>
          <w:lang w:bidi="ar"/>
        </w:rPr>
      </w:pPr>
    </w:p>
    <w:p w14:paraId="73308BC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287016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6F26D24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3F5E66B5"/>
    <w:p w14:paraId="2396F11E">
      <w:pPr>
        <w:pStyle w:val="3"/>
        <w:numPr>
          <w:ilvl w:val="0"/>
          <w:numId w:val="1"/>
        </w:numPr>
        <w:rPr>
          <w:rFonts w:hint="eastAsia" w:ascii="仿宋" w:hAnsi="仿宋"/>
          <w:lang w:bidi="en-US"/>
        </w:rPr>
      </w:pPr>
      <w:bookmarkStart w:id="7" w:name="_Toc10016"/>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3"/>
        <w:numPr>
          <w:ilvl w:val="0"/>
          <w:numId w:val="1"/>
        </w:numPr>
        <w:rPr>
          <w:rFonts w:hint="eastAsia" w:ascii="仿宋" w:hAnsi="仿宋"/>
        </w:rPr>
      </w:pPr>
      <w:bookmarkStart w:id="8" w:name="_Toc2834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3"/>
        <w:numPr>
          <w:ilvl w:val="0"/>
          <w:numId w:val="1"/>
        </w:numPr>
        <w:rPr>
          <w:rFonts w:hint="eastAsia" w:ascii="仿宋" w:hAnsi="仿宋"/>
        </w:rPr>
      </w:pPr>
      <w:bookmarkStart w:id="9" w:name="_Toc20333"/>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w:t>
      </w:r>
      <w:r>
        <w:rPr>
          <w:rFonts w:hint="eastAsia" w:ascii="仿宋" w:hAnsi="仿宋" w:eastAsia="仿宋"/>
          <w:sz w:val="24"/>
          <w:lang w:val="en-US" w:eastAsia="zh-CN" w:bidi="en-US"/>
        </w:rPr>
        <w:t>三</w:t>
      </w:r>
      <w:r>
        <w:rPr>
          <w:rFonts w:hint="eastAsia" w:ascii="仿宋" w:hAnsi="仿宋" w:eastAsia="仿宋"/>
          <w:sz w:val="24"/>
          <w:lang w:bidi="en-US"/>
        </w:rPr>
        <w:t>表（资产负债表、现金流量表、利润表）</w:t>
      </w:r>
    </w:p>
    <w:p w14:paraId="09FD1F9D">
      <w:pPr>
        <w:rPr>
          <w:rFonts w:hint="eastAsia" w:ascii="仿宋" w:hAnsi="仿宋" w:eastAsia="仿宋"/>
        </w:rPr>
      </w:pPr>
    </w:p>
    <w:p w14:paraId="4EB27604">
      <w:pPr>
        <w:pStyle w:val="3"/>
        <w:numPr>
          <w:ilvl w:val="0"/>
          <w:numId w:val="1"/>
        </w:numPr>
        <w:rPr>
          <w:rFonts w:hint="eastAsia" w:ascii="仿宋" w:hAnsi="仿宋"/>
        </w:rPr>
      </w:pPr>
      <w:bookmarkStart w:id="10" w:name="_Toc19838"/>
      <w:r>
        <w:rPr>
          <w:rFonts w:hint="eastAsia" w:ascii="仿宋" w:hAnsi="仿宋"/>
        </w:rPr>
        <w:t>同类</w:t>
      </w:r>
      <w:r>
        <w:rPr>
          <w:rFonts w:ascii="仿宋" w:hAnsi="仿宋"/>
        </w:rPr>
        <w:t>业绩</w:t>
      </w:r>
      <w:r>
        <w:rPr>
          <w:rFonts w:hint="eastAsia" w:ascii="仿宋" w:hAnsi="仿宋"/>
        </w:rPr>
        <w:t>一览表</w:t>
      </w:r>
      <w:bookmarkEnd w:id="10"/>
      <w:bookmarkStart w:id="16" w:name="_GoBack"/>
      <w:bookmarkEnd w:id="16"/>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3"/>
        <w:numPr>
          <w:ilvl w:val="0"/>
          <w:numId w:val="1"/>
        </w:numPr>
        <w:rPr>
          <w:rFonts w:hint="eastAsia" w:ascii="仿宋" w:hAnsi="仿宋"/>
        </w:rPr>
      </w:pPr>
      <w:bookmarkStart w:id="11" w:name="_Toc24253"/>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w:t>
      </w:r>
      <w:r>
        <w:rPr>
          <w:rFonts w:hint="eastAsia" w:ascii="仿宋" w:hAnsi="仿宋" w:eastAsia="仿宋"/>
          <w:sz w:val="24"/>
          <w:highlight w:val="none"/>
          <w:lang w:bidi="en-US"/>
        </w:rPr>
        <w:t>发票。</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187BF2B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合同1：XX年XX月XX日（合同签署年份），XX元（合同金额）,XX(服务内容)</w:t>
      </w:r>
    </w:p>
    <w:p w14:paraId="11EC241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（附合同1扫描件）</w:t>
      </w:r>
    </w:p>
    <w:p w14:paraId="112B60A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02E169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合同1：发票</w:t>
      </w:r>
    </w:p>
    <w:p w14:paraId="33C584F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（附合同1发票扫描件）</w:t>
      </w:r>
    </w:p>
    <w:p w14:paraId="25FC294F">
      <w:pPr>
        <w:rPr>
          <w:rFonts w:hint="eastAsia"/>
          <w:lang w:bidi="en-US"/>
        </w:rPr>
      </w:pPr>
    </w:p>
    <w:p w14:paraId="2A7BC8B8">
      <w:pPr>
        <w:pStyle w:val="3"/>
        <w:numPr>
          <w:ilvl w:val="0"/>
          <w:numId w:val="1"/>
        </w:numPr>
        <w:rPr>
          <w:rFonts w:hint="eastAsia" w:ascii="仿宋" w:hAnsi="仿宋"/>
        </w:rPr>
      </w:pPr>
      <w:bookmarkStart w:id="12" w:name="_Toc1244"/>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3"/>
        <w:numPr>
          <w:ilvl w:val="0"/>
          <w:numId w:val="1"/>
        </w:numPr>
        <w:rPr>
          <w:rFonts w:hint="eastAsia" w:ascii="仿宋" w:hAnsi="仿宋"/>
        </w:rPr>
      </w:pPr>
      <w:bookmarkStart w:id="15" w:name="_Toc20572"/>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BB0674"/>
    <w:rsid w:val="53D93AD8"/>
    <w:rsid w:val="5930539F"/>
    <w:rsid w:val="598F04FE"/>
    <w:rsid w:val="5F954E73"/>
    <w:rsid w:val="60CC76B7"/>
    <w:rsid w:val="61442B7D"/>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5082</Words>
  <Characters>5185</Characters>
  <Lines>52</Lines>
  <Paragraphs>14</Paragraphs>
  <TotalTime>1</TotalTime>
  <ScaleCrop>false</ScaleCrop>
  <LinksUpToDate>false</LinksUpToDate>
  <CharactersWithSpaces>5752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2025-01-27T04:09:34Z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