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3A378A51">
      <w:pPr>
        <w:adjustRightInd w:val="0"/>
        <w:snapToGrid w:val="0"/>
        <w:spacing w:line="360" w:lineRule="auto"/>
        <w:ind w:firstLine="280"/>
        <w:jc w:val="center"/>
        <w:rPr>
          <w:rFonts w:hint="eastAsia" w:ascii="仿宋" w:hAnsi="仿宋" w:eastAsia="仿宋"/>
          <w:sz w:val="32"/>
          <w:szCs w:val="32"/>
          <w:lang w:eastAsia="zh-CN"/>
        </w:rPr>
      </w:pPr>
      <w:r>
        <w:rPr>
          <w:rFonts w:hint="eastAsia" w:ascii="仿宋" w:hAnsi="仿宋" w:eastAsia="仿宋"/>
          <w:sz w:val="32"/>
          <w:szCs w:val="32"/>
        </w:rPr>
        <w:t>项目名称：</w:t>
      </w:r>
      <w:r>
        <w:rPr>
          <w:rFonts w:hint="eastAsia" w:ascii="仿宋" w:hAnsi="仿宋" w:eastAsia="仿宋"/>
          <w:sz w:val="32"/>
          <w:szCs w:val="32"/>
          <w:lang w:eastAsia="zh-CN"/>
        </w:rPr>
        <w:t>2025年舍得智慧人物第七季&amp;舍得成长季</w:t>
      </w:r>
    </w:p>
    <w:p w14:paraId="2455D64A">
      <w:pPr>
        <w:adjustRightInd w:val="0"/>
        <w:snapToGrid w:val="0"/>
        <w:spacing w:line="360" w:lineRule="auto"/>
        <w:ind w:firstLine="280"/>
        <w:jc w:val="center"/>
        <w:rPr>
          <w:rFonts w:hint="eastAsia" w:ascii="仿宋" w:hAnsi="仿宋" w:eastAsia="仿宋"/>
          <w:bCs/>
          <w:sz w:val="28"/>
          <w:szCs w:val="28"/>
          <w:lang w:eastAsia="zh-CN"/>
        </w:rPr>
      </w:pPr>
      <w:r>
        <w:rPr>
          <w:rFonts w:hint="eastAsia" w:ascii="仿宋" w:hAnsi="仿宋" w:eastAsia="仿宋"/>
          <w:sz w:val="32"/>
          <w:szCs w:val="32"/>
          <w:lang w:eastAsia="zh-CN"/>
        </w:rPr>
        <w:t>新媒体社会化传播项目</w:t>
      </w:r>
    </w:p>
    <w:p w14:paraId="3E267D66">
      <w:pPr>
        <w:adjustRightInd w:val="0"/>
        <w:snapToGrid w:val="0"/>
        <w:spacing w:line="360" w:lineRule="auto"/>
        <w:ind w:firstLine="1680" w:firstLineChars="525"/>
        <w:jc w:val="left"/>
        <w:rPr>
          <w:rFonts w:hint="eastAsia" w:ascii="仿宋" w:hAnsi="仿宋" w:eastAsia="仿宋"/>
          <w:sz w:val="32"/>
          <w:szCs w:val="32"/>
        </w:rPr>
      </w:pP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ind w:firstLine="1680" w:firstLineChars="525"/>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ind w:firstLine="1680" w:firstLineChars="525"/>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bookmarkStart w:id="16" w:name="_GoBack"/>
      <w:bookmarkEnd w:id="16"/>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0BB31B5E">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_Toc12921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_Toc12921 \h </w:instrText>
          </w:r>
          <w:r>
            <w:fldChar w:fldCharType="separate"/>
          </w:r>
          <w:r>
            <w:t>1</w:t>
          </w:r>
          <w:r>
            <w:fldChar w:fldCharType="end"/>
          </w:r>
          <w:r>
            <w:rPr>
              <w:rFonts w:hint="eastAsia" w:ascii="仿宋" w:hAnsi="仿宋" w:cs="仿宋"/>
              <w:bCs/>
              <w:szCs w:val="28"/>
            </w:rPr>
            <w:fldChar w:fldCharType="end"/>
          </w:r>
        </w:p>
        <w:p w14:paraId="23C7DBF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_Toc4504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_Toc4504 \h </w:instrText>
          </w:r>
          <w:r>
            <w:fldChar w:fldCharType="separate"/>
          </w:r>
          <w:r>
            <w:t>2</w:t>
          </w:r>
          <w:r>
            <w:fldChar w:fldCharType="end"/>
          </w:r>
          <w:r>
            <w:rPr>
              <w:rFonts w:hint="eastAsia" w:ascii="仿宋" w:hAnsi="仿宋" w:cs="仿宋"/>
              <w:szCs w:val="28"/>
            </w:rPr>
            <w:fldChar w:fldCharType="end"/>
          </w:r>
        </w:p>
        <w:p w14:paraId="5B80FB5A">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_Toc343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_Toc343 \h </w:instrText>
          </w:r>
          <w:r>
            <w:fldChar w:fldCharType="separate"/>
          </w:r>
          <w:r>
            <w:t>2</w:t>
          </w:r>
          <w:r>
            <w:fldChar w:fldCharType="end"/>
          </w:r>
          <w:r>
            <w:rPr>
              <w:rFonts w:hint="eastAsia" w:ascii="仿宋" w:hAnsi="仿宋" w:cs="仿宋"/>
              <w:szCs w:val="28"/>
            </w:rPr>
            <w:fldChar w:fldCharType="end"/>
          </w:r>
        </w:p>
        <w:p w14:paraId="19CF9E3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_Toc11381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_Toc11381 \h </w:instrText>
          </w:r>
          <w:r>
            <w:fldChar w:fldCharType="separate"/>
          </w:r>
          <w:r>
            <w:t>3</w:t>
          </w:r>
          <w:r>
            <w:fldChar w:fldCharType="end"/>
          </w:r>
          <w:r>
            <w:rPr>
              <w:rFonts w:hint="eastAsia" w:ascii="仿宋" w:hAnsi="仿宋" w:cs="仿宋"/>
              <w:szCs w:val="28"/>
            </w:rPr>
            <w:fldChar w:fldCharType="end"/>
          </w:r>
        </w:p>
        <w:p w14:paraId="5307105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_Toc5884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_Toc5884 \h </w:instrText>
          </w:r>
          <w:r>
            <w:fldChar w:fldCharType="separate"/>
          </w:r>
          <w:r>
            <w:t>3</w:t>
          </w:r>
          <w:r>
            <w:fldChar w:fldCharType="end"/>
          </w:r>
          <w:r>
            <w:rPr>
              <w:rFonts w:hint="eastAsia" w:ascii="仿宋" w:hAnsi="仿宋" w:cs="仿宋"/>
              <w:szCs w:val="28"/>
            </w:rPr>
            <w:fldChar w:fldCharType="end"/>
          </w:r>
        </w:p>
        <w:p w14:paraId="7EB8A3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_Toc17139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_Toc17139 \h </w:instrText>
          </w:r>
          <w:r>
            <w:fldChar w:fldCharType="separate"/>
          </w:r>
          <w:r>
            <w:t>4</w:t>
          </w:r>
          <w:r>
            <w:fldChar w:fldCharType="end"/>
          </w:r>
          <w:r>
            <w:rPr>
              <w:rFonts w:hint="eastAsia" w:ascii="仿宋" w:hAnsi="仿宋" w:cs="仿宋"/>
              <w:szCs w:val="28"/>
            </w:rPr>
            <w:fldChar w:fldCharType="end"/>
          </w:r>
        </w:p>
        <w:p w14:paraId="776DDC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_Toc12000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_Toc12000 \h </w:instrText>
          </w:r>
          <w:r>
            <w:fldChar w:fldCharType="separate"/>
          </w:r>
          <w:r>
            <w:t>5</w:t>
          </w:r>
          <w:r>
            <w:fldChar w:fldCharType="end"/>
          </w:r>
          <w:r>
            <w:rPr>
              <w:rFonts w:hint="eastAsia" w:ascii="仿宋" w:hAnsi="仿宋" w:cs="仿宋"/>
              <w:szCs w:val="28"/>
            </w:rPr>
            <w:fldChar w:fldCharType="end"/>
          </w:r>
        </w:p>
        <w:p w14:paraId="799AEC3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_Toc17489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_Toc17489 \h </w:instrText>
          </w:r>
          <w:r>
            <w:fldChar w:fldCharType="separate"/>
          </w:r>
          <w:r>
            <w:t>7</w:t>
          </w:r>
          <w:r>
            <w:fldChar w:fldCharType="end"/>
          </w:r>
          <w:r>
            <w:rPr>
              <w:rFonts w:hint="eastAsia" w:ascii="仿宋" w:hAnsi="仿宋" w:cs="仿宋"/>
              <w:szCs w:val="28"/>
            </w:rPr>
            <w:fldChar w:fldCharType="end"/>
          </w:r>
        </w:p>
        <w:p w14:paraId="24ECD49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_Toc15939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_Toc15939 \h </w:instrText>
          </w:r>
          <w:r>
            <w:fldChar w:fldCharType="separate"/>
          </w:r>
          <w:r>
            <w:t>7</w:t>
          </w:r>
          <w:r>
            <w:fldChar w:fldCharType="end"/>
          </w:r>
          <w:r>
            <w:rPr>
              <w:rFonts w:hint="eastAsia" w:ascii="仿宋" w:hAnsi="仿宋" w:cs="仿宋"/>
              <w:szCs w:val="28"/>
            </w:rPr>
            <w:fldChar w:fldCharType="end"/>
          </w:r>
        </w:p>
        <w:p w14:paraId="56001AA8">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_Toc4044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_Toc4044 \h </w:instrText>
          </w:r>
          <w:r>
            <w:fldChar w:fldCharType="separate"/>
          </w:r>
          <w:r>
            <w:t>7</w:t>
          </w:r>
          <w:r>
            <w:fldChar w:fldCharType="end"/>
          </w:r>
          <w:r>
            <w:rPr>
              <w:rFonts w:hint="eastAsia" w:ascii="仿宋" w:hAnsi="仿宋" w:cs="仿宋"/>
              <w:szCs w:val="28"/>
            </w:rPr>
            <w:fldChar w:fldCharType="end"/>
          </w:r>
        </w:p>
        <w:p w14:paraId="14EB6411">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_Toc21124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_Toc21124 \h </w:instrText>
          </w:r>
          <w:r>
            <w:fldChar w:fldCharType="separate"/>
          </w:r>
          <w:r>
            <w:t>7</w:t>
          </w:r>
          <w:r>
            <w:fldChar w:fldCharType="end"/>
          </w:r>
          <w:r>
            <w:rPr>
              <w:rFonts w:hint="eastAsia" w:ascii="仿宋" w:hAnsi="仿宋" w:cs="仿宋"/>
              <w:szCs w:val="28"/>
            </w:rPr>
            <w:fldChar w:fldCharType="end"/>
          </w:r>
        </w:p>
        <w:p w14:paraId="6698E616">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_Toc17425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_Toc17425 \h </w:instrText>
          </w:r>
          <w:r>
            <w:fldChar w:fldCharType="separate"/>
          </w:r>
          <w:r>
            <w:t>8</w:t>
          </w:r>
          <w:r>
            <w:fldChar w:fldCharType="end"/>
          </w:r>
          <w:r>
            <w:rPr>
              <w:rFonts w:hint="eastAsia" w:ascii="仿宋" w:hAnsi="仿宋" w:cs="仿宋"/>
              <w:szCs w:val="28"/>
            </w:rPr>
            <w:fldChar w:fldCharType="end"/>
          </w:r>
        </w:p>
        <w:p w14:paraId="41FA377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_Toc25407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_Toc25407 \h </w:instrText>
          </w:r>
          <w:r>
            <w:fldChar w:fldCharType="separate"/>
          </w:r>
          <w:r>
            <w:t>8</w:t>
          </w:r>
          <w:r>
            <w:fldChar w:fldCharType="end"/>
          </w:r>
          <w:r>
            <w:rPr>
              <w:rFonts w:hint="eastAsia" w:ascii="仿宋" w:hAnsi="仿宋" w:cs="仿宋"/>
              <w:szCs w:val="28"/>
            </w:rPr>
            <w:fldChar w:fldCharType="end"/>
          </w:r>
        </w:p>
        <w:p w14:paraId="05FD5B8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_Toc1891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_Toc1891 \h </w:instrText>
          </w:r>
          <w:r>
            <w:fldChar w:fldCharType="separate"/>
          </w:r>
          <w:r>
            <w:t>11</w:t>
          </w:r>
          <w:r>
            <w:fldChar w:fldCharType="end"/>
          </w:r>
          <w:r>
            <w:rPr>
              <w:rFonts w:hint="eastAsia" w:ascii="仿宋" w:hAnsi="仿宋" w:cs="仿宋"/>
              <w:szCs w:val="28"/>
            </w:rPr>
            <w:fldChar w:fldCharType="end"/>
          </w:r>
        </w:p>
        <w:p w14:paraId="6FA8F445">
          <w:pPr>
            <w:pStyle w:val="3"/>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3"/>
        <w:numPr>
          <w:ilvl w:val="0"/>
          <w:numId w:val="1"/>
        </w:numPr>
        <w:ind w:left="-567" w:leftChars="-270" w:firstLine="565" w:firstLineChars="176"/>
        <w:rPr>
          <w:rFonts w:hint="eastAsia" w:ascii="仿宋" w:hAnsi="仿宋"/>
        </w:rPr>
      </w:pPr>
      <w:bookmarkStart w:id="0" w:name="_Toc12921"/>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3"/>
        <w:numPr>
          <w:ilvl w:val="0"/>
          <w:numId w:val="1"/>
        </w:numPr>
        <w:rPr>
          <w:rFonts w:hint="eastAsia" w:ascii="仿宋" w:hAnsi="仿宋"/>
        </w:rPr>
      </w:pPr>
      <w:bookmarkStart w:id="1" w:name="_Toc4504"/>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3"/>
        <w:numPr>
          <w:ilvl w:val="0"/>
          <w:numId w:val="1"/>
        </w:numPr>
        <w:rPr>
          <w:rFonts w:hint="eastAsia" w:ascii="仿宋" w:hAnsi="仿宋"/>
        </w:rPr>
      </w:pPr>
      <w:bookmarkStart w:id="2" w:name="_Toc343"/>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2025年舍得智慧人物第七季&amp;舍得成长季新媒体社会化传播项目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3"/>
        <w:numPr>
          <w:ilvl w:val="0"/>
          <w:numId w:val="1"/>
        </w:numPr>
        <w:rPr>
          <w:rFonts w:hint="eastAsia" w:ascii="仿宋" w:hAnsi="仿宋"/>
        </w:rPr>
      </w:pPr>
      <w:bookmarkStart w:id="3" w:name="_Toc1138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14:paraId="0FC657AB">
      <w:pPr>
        <w:pStyle w:val="3"/>
        <w:numPr>
          <w:ilvl w:val="0"/>
          <w:numId w:val="1"/>
        </w:numPr>
        <w:rPr>
          <w:rFonts w:hint="eastAsia" w:ascii="仿宋" w:hAnsi="仿宋"/>
        </w:rPr>
      </w:pPr>
      <w:bookmarkStart w:id="4" w:name="_Toc5884"/>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2025年舍得智慧人物第七季&amp;舍得成长季新媒体社会化传播项目</w:t>
      </w:r>
      <w:r>
        <w:rPr>
          <w:rFonts w:hint="eastAsia" w:ascii="仿宋" w:hAnsi="仿宋" w:eastAsia="仿宋"/>
        </w:rPr>
        <w:t>项目招投标，我公司承诺：</w:t>
      </w:r>
      <w:r>
        <w:rPr>
          <w:rFonts w:hint="eastAsia" w:ascii="仿宋" w:hAnsi="仿宋" w:eastAsia="仿宋"/>
          <w:u w:val="single"/>
        </w:rPr>
        <w:t>不采用挂</w:t>
      </w:r>
      <w:r>
        <w:rPr>
          <w:rFonts w:hint="eastAsia" w:ascii="仿宋" w:hAnsi="仿宋" w:eastAsia="仿宋" w:cs="宋体"/>
          <w:u w:val="single"/>
        </w:rPr>
        <w:t>靠、分包、转包、联合体方式</w:t>
      </w:r>
      <w:r>
        <w:rPr>
          <w:rFonts w:hint="eastAsia" w:ascii="仿宋" w:hAnsi="仿宋" w:eastAsia="仿宋"/>
          <w:u w:val="single"/>
        </w:rPr>
        <w:t>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3"/>
        <w:numPr>
          <w:ilvl w:val="0"/>
          <w:numId w:val="1"/>
        </w:numPr>
        <w:rPr>
          <w:rFonts w:hint="eastAsia" w:ascii="仿宋" w:hAnsi="仿宋"/>
          <w:lang w:bidi="en-US"/>
        </w:rPr>
      </w:pPr>
      <w:bookmarkStart w:id="5" w:name="_Toc17139"/>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致</w:t>
      </w:r>
      <w:r>
        <w:rPr>
          <w:rFonts w:hint="eastAsia" w:ascii="仿宋" w:hAnsi="仿宋" w:eastAsia="仿宋" w:cs="仿宋"/>
          <w:b/>
          <w:bCs/>
          <w:color w:val="000000" w:themeColor="text1"/>
          <w:sz w:val="24"/>
          <w:u w:val="single"/>
          <w14:textFill>
            <w14:solidFill>
              <w14:schemeClr w14:val="tx1"/>
            </w14:solidFill>
          </w14:textFill>
        </w:rPr>
        <w:t>四川沱牌舍得营销有限公司：</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3"/>
        <w:numPr>
          <w:ilvl w:val="0"/>
          <w:numId w:val="1"/>
        </w:numPr>
        <w:rPr>
          <w:rFonts w:hint="eastAsia" w:ascii="仿宋" w:hAnsi="仿宋"/>
          <w:lang w:bidi="en-US"/>
        </w:rPr>
      </w:pPr>
      <w:bookmarkStart w:id="6" w:name="_Toc12000"/>
      <w:r>
        <w:rPr>
          <w:rFonts w:hint="eastAsia" w:ascii="仿宋" w:hAnsi="仿宋"/>
          <w:lang w:bidi="en-US"/>
        </w:rPr>
        <w:t>复星廉洁自律承诺书</w:t>
      </w:r>
      <w:bookmarkEnd w:id="6"/>
      <w:r>
        <w:rPr>
          <w:rFonts w:hint="eastAsia" w:ascii="仿宋" w:hAnsi="仿宋"/>
          <w:lang w:bidi="en-US"/>
        </w:rPr>
        <w:t xml:space="preserve"> </w:t>
      </w:r>
    </w:p>
    <w:p w14:paraId="68B1986A">
      <w:pPr>
        <w:tabs>
          <w:tab w:val="left" w:pos="540"/>
        </w:tabs>
        <w:adjustRightInd w:val="0"/>
        <w:snapToGrid w:val="0"/>
        <w:spacing w:line="460" w:lineRule="exact"/>
        <w:ind w:firstLine="482" w:firstLineChars="200"/>
        <w:jc w:val="center"/>
        <w:rPr>
          <w:rFonts w:hint="eastAsia" w:ascii="仿宋" w:hAnsi="仿宋" w:eastAsia="仿宋" w:cs="仿宋"/>
          <w:sz w:val="24"/>
        </w:rPr>
      </w:pPr>
      <w:r>
        <w:rPr>
          <w:rFonts w:hint="eastAsia" w:ascii="仿宋" w:hAnsi="仿宋" w:eastAsia="仿宋" w:cs="仿宋"/>
          <w:b/>
          <w:bCs/>
          <w:sz w:val="24"/>
        </w:rPr>
        <w:t>供应商廉洁自律承诺书</w:t>
      </w:r>
    </w:p>
    <w:p w14:paraId="003107C2">
      <w:pPr>
        <w:tabs>
          <w:tab w:val="left" w:pos="540"/>
        </w:tabs>
        <w:adjustRightInd w:val="0"/>
        <w:snapToGrid w:val="0"/>
        <w:spacing w:line="460" w:lineRule="exact"/>
        <w:ind w:firstLine="480" w:firstLineChars="200"/>
        <w:rPr>
          <w:rFonts w:hint="eastAsia" w:ascii="仿宋" w:hAnsi="仿宋" w:eastAsia="仿宋" w:cs="仿宋"/>
          <w:sz w:val="24"/>
        </w:rPr>
      </w:pPr>
    </w:p>
    <w:p w14:paraId="74034A8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本公司承诺遵守复星集团相关采购纪律和工作流程，确保采购招投标活动规范与廉洁。 </w:t>
      </w:r>
    </w:p>
    <w:p w14:paraId="3D4E3D7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本公司确认知晓：经查实存在以下情形和行为的企业，将按照情节严重程度，受到警告、禁入、永久禁入等惩罚。同时复星集团会将该等事项如实披露给复星集团关联企业。 </w:t>
      </w:r>
    </w:p>
    <w:p w14:paraId="7D97BC3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列入黑名单供应商名册的情形和行为包括但不限于： </w:t>
      </w:r>
    </w:p>
    <w:p w14:paraId="411D661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 在采购响应文件有效期内擅自撤销采购响应文件的，或扰乱开标、评审现场，影响采购活动进行的。 </w:t>
      </w:r>
    </w:p>
    <w:p w14:paraId="1FE2A35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 参与招标项目，无正当理由中途退出投标 1 次以上(含 1 次)的。 </w:t>
      </w:r>
    </w:p>
    <w:p w14:paraId="54A0839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3. 参与招标项目，一年内因未实质性响应招标文件合格投标人资质要求，被废标 2 次以上（含 2 次）的。 </w:t>
      </w:r>
    </w:p>
    <w:p w14:paraId="2CE5FD6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4. 合同磋商时不能有效兑现采购响应文件和评审时的承诺的。 </w:t>
      </w:r>
    </w:p>
    <w:p w14:paraId="0E37D47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5. 因供应商原因，一年内 2 次以上（含 2 次）超过公司规定时间 5 天以上（含5天）30天以内签署合同，但未影响公司项目实施的。 </w:t>
      </w:r>
    </w:p>
    <w:p w14:paraId="0EDF27A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6.一年内或合同期内未按照合同约定如期交货、未按时提供服务或拖延工期 2次以上（含 2 次），但未影响项目整体执行的。 </w:t>
      </w:r>
    </w:p>
    <w:p w14:paraId="220141F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7. 发生经营状况重大变化、重大合同纠纷或诉讼、信用等级和资质变化等可能影响履约能力的重大事项，未及时向公司反映并提供书面报告的。 </w:t>
      </w:r>
    </w:p>
    <w:p w14:paraId="254D0DE1">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8. 在招标过程中，提供虚假材料的。 </w:t>
      </w:r>
    </w:p>
    <w:p w14:paraId="181A467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9. 参与招标项目，无正当理由中途退出投标 2 次以上（含 2 次）的。 </w:t>
      </w:r>
    </w:p>
    <w:p w14:paraId="430DC88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10.参与公司采购活动时存在围标串标行为的。 </w:t>
      </w:r>
    </w:p>
    <w:p w14:paraId="02D39F1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11.参与公司采购活动时存在挂靠行为或关联方重复投标的。 </w:t>
      </w:r>
    </w:p>
    <w:p w14:paraId="0B8B1558">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12.采取诋毁、排挤其他供应商等不正当手段谋取中标、成交的。 </w:t>
      </w:r>
    </w:p>
    <w:p w14:paraId="71BE783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13.在采购组织实施过程中，泄露应当保密的与评审活动有关的信息的。 </w:t>
      </w:r>
    </w:p>
    <w:p w14:paraId="3317672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14.报价不实、低价位承诺未兑现。 </w:t>
      </w:r>
    </w:p>
    <w:p w14:paraId="23DD64A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15.因供应商原因，在发出中标、成交通知书后超过 30 天未与公司签署合同，或虽在 30 天内，但对公司项目实施产生较大影响的。 </w:t>
      </w:r>
    </w:p>
    <w:p w14:paraId="7F6AABC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16.中标后放弃中标、成交资格，或拒绝签订采购合同的。 </w:t>
      </w:r>
    </w:p>
    <w:p w14:paraId="3A4C3CEB">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17.招标项目合同签署过程中，坚持要求修改合同实质性内容的。 </w:t>
      </w:r>
    </w:p>
    <w:p w14:paraId="19C9DE90">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18.未按照合同约定如期交货、未按时提供服务或拖延工期，且影响到项目整体执行的。 </w:t>
      </w:r>
    </w:p>
    <w:p w14:paraId="706BEFF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19.提供假冒伪劣产品、走私物品的，以次冲好、以假冲真或未按照合同约定 </w:t>
      </w:r>
    </w:p>
    <w:p w14:paraId="77E18C4D">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的质量标准和要求提供货物或服务，且影响到项目整体执行的。 </w:t>
      </w:r>
    </w:p>
    <w:p w14:paraId="22D06162">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20.无正当理由拒绝履行合同和有关承诺，擅自变更、中止（终止）采购合同的。 </w:t>
      </w:r>
    </w:p>
    <w:p w14:paraId="2F34A65F">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21.因供应商原因导致第三方向公司提起诉讼或其他权利主张的。 </w:t>
      </w:r>
    </w:p>
    <w:p w14:paraId="11DF661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22.在合同履约过程中提供虚假原厂商下单证明、虚假发票等伪造材料的。 </w:t>
      </w:r>
    </w:p>
    <w:p w14:paraId="425BBF6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23.向招标代理机构、公司相关人员、评审小组成员行贿或者提供其他不正当利益谋取中标、成交的。 </w:t>
      </w:r>
    </w:p>
    <w:p w14:paraId="54CA4D0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24.出让或出租资格、资质证书供他人用于响应采购活动的。 </w:t>
      </w:r>
    </w:p>
    <w:p w14:paraId="6FF9B605">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25.未按合同约定泄露我司商业、技术秘密或侵犯公司知识产权，并造成严重后果的。 </w:t>
      </w:r>
    </w:p>
    <w:p w14:paraId="59C8CBA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26.出现被政府主管部门禁入且在禁入期内的。 </w:t>
      </w:r>
    </w:p>
    <w:p w14:paraId="0739F754">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27.在采购实施或合同履约过程中出现的其他违反诚信或廉洁的行为。 </w:t>
      </w:r>
    </w:p>
    <w:p w14:paraId="55D1F854">
      <w:pPr>
        <w:tabs>
          <w:tab w:val="left" w:pos="540"/>
        </w:tabs>
        <w:adjustRightInd w:val="0"/>
        <w:snapToGrid w:val="0"/>
        <w:spacing w:line="460" w:lineRule="exact"/>
        <w:ind w:firstLine="480" w:firstLineChars="200"/>
        <w:rPr>
          <w:rFonts w:hint="eastAsia" w:ascii="仿宋" w:hAnsi="仿宋" w:eastAsia="仿宋" w:cs="仿宋"/>
          <w:sz w:val="24"/>
        </w:rPr>
      </w:pPr>
    </w:p>
    <w:p w14:paraId="73308BC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以上条款，若有违反任意一条，本公司自愿接受相应处罚，特此声明！ </w:t>
      </w:r>
    </w:p>
    <w:p w14:paraId="287016C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公司（公章）： </w:t>
      </w:r>
    </w:p>
    <w:p w14:paraId="6F26D24A">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 xml:space="preserve">年   月    日 </w:t>
      </w:r>
    </w:p>
    <w:p w14:paraId="3F5E66B5"/>
    <w:p w14:paraId="2396F11E">
      <w:pPr>
        <w:pStyle w:val="3"/>
        <w:numPr>
          <w:ilvl w:val="0"/>
          <w:numId w:val="1"/>
        </w:numPr>
        <w:rPr>
          <w:rFonts w:hint="eastAsia" w:ascii="仿宋" w:hAnsi="仿宋"/>
          <w:lang w:bidi="en-US"/>
        </w:rPr>
      </w:pPr>
      <w:bookmarkStart w:id="7" w:name="_Toc17489"/>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p>
    <w:p w14:paraId="2FE8A405">
      <w:pPr>
        <w:rPr>
          <w:rFonts w:hint="eastAsia" w:ascii="仿宋" w:hAnsi="仿宋" w:eastAsia="仿宋"/>
          <w:lang w:bidi="en-US"/>
        </w:rPr>
      </w:pPr>
    </w:p>
    <w:p w14:paraId="0AE924D1">
      <w:pPr>
        <w:pStyle w:val="3"/>
        <w:numPr>
          <w:ilvl w:val="0"/>
          <w:numId w:val="1"/>
        </w:numPr>
        <w:rPr>
          <w:rFonts w:hint="eastAsia" w:ascii="仿宋" w:hAnsi="仿宋"/>
        </w:rPr>
      </w:pPr>
      <w:bookmarkStart w:id="8" w:name="_Toc15939"/>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11819EAF">
      <w:pPr>
        <w:rPr>
          <w:rFonts w:hint="eastAsia" w:ascii="仿宋" w:hAnsi="仿宋" w:eastAsia="仿宋"/>
          <w:lang w:bidi="en-US"/>
        </w:rPr>
      </w:pPr>
    </w:p>
    <w:p w14:paraId="56EE0F43">
      <w:pPr>
        <w:pStyle w:val="3"/>
        <w:numPr>
          <w:ilvl w:val="0"/>
          <w:numId w:val="1"/>
        </w:numPr>
        <w:rPr>
          <w:rFonts w:hint="eastAsia" w:ascii="仿宋" w:hAnsi="仿宋"/>
        </w:rPr>
      </w:pPr>
      <w:bookmarkStart w:id="9" w:name="_Toc4044"/>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3"/>
        <w:numPr>
          <w:ilvl w:val="0"/>
          <w:numId w:val="1"/>
        </w:numPr>
        <w:rPr>
          <w:rFonts w:hint="eastAsia" w:ascii="仿宋" w:hAnsi="仿宋"/>
        </w:rPr>
      </w:pPr>
      <w:bookmarkStart w:id="10" w:name="_Toc21124"/>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3"/>
        <w:numPr>
          <w:ilvl w:val="0"/>
          <w:numId w:val="1"/>
        </w:numPr>
        <w:rPr>
          <w:rFonts w:hint="eastAsia" w:ascii="仿宋" w:hAnsi="仿宋"/>
        </w:rPr>
      </w:pPr>
      <w:bookmarkStart w:id="11" w:name="_Toc17425"/>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提供完整合同，合同的首页、盖章页及能体现合同服务内容、金额等与本项目相关部分可见，须提供业绩合同对应发票</w:t>
      </w:r>
      <w:r>
        <w:rPr>
          <w:rFonts w:hint="eastAsia" w:ascii="仿宋" w:hAnsi="仿宋" w:eastAsia="仿宋"/>
          <w:sz w:val="24"/>
          <w:highlight w:val="yellow"/>
          <w:lang w:bidi="en-US"/>
        </w:rPr>
        <w:t>（业绩合同对应发票统一放在一个文件内提供，发票清晰）。</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6A30323B">
      <w:pPr>
        <w:rPr>
          <w:lang w:bidi="en-US"/>
        </w:rPr>
      </w:pPr>
    </w:p>
    <w:p w14:paraId="2B4869E7">
      <w:pPr>
        <w:rPr>
          <w:rFonts w:hint="eastAsia"/>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2F922E2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17385FB4">
      <w:pPr>
        <w:rPr>
          <w:rFonts w:hint="eastAsia"/>
          <w:lang w:bidi="en-US"/>
        </w:rPr>
      </w:pPr>
    </w:p>
    <w:p w14:paraId="2A7BC8B8">
      <w:pPr>
        <w:pStyle w:val="3"/>
        <w:numPr>
          <w:ilvl w:val="0"/>
          <w:numId w:val="1"/>
        </w:numPr>
        <w:rPr>
          <w:rFonts w:hint="eastAsia" w:ascii="仿宋" w:hAnsi="仿宋"/>
        </w:rPr>
      </w:pPr>
      <w:bookmarkStart w:id="12" w:name="_Toc25407"/>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5"/>
      <w:bookmarkStart w:id="14" w:name="OLE_LINK3"/>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2D8DEE6C">
      <w:pPr>
        <w:pStyle w:val="3"/>
        <w:numPr>
          <w:ilvl w:val="0"/>
          <w:numId w:val="1"/>
        </w:numPr>
        <w:rPr>
          <w:rFonts w:hint="eastAsia" w:ascii="仿宋" w:hAnsi="仿宋"/>
        </w:rPr>
      </w:pPr>
      <w:bookmarkStart w:id="15" w:name="_Toc1891"/>
      <w:r>
        <w:rPr>
          <w:rFonts w:hint="eastAsia" w:ascii="仿宋" w:hAnsi="仿宋"/>
        </w:rPr>
        <w:t>其他有必要的资质及补充资料</w:t>
      </w:r>
      <w:bookmarkEnd w:id="15"/>
    </w:p>
    <w:p w14:paraId="3900740F">
      <w:pPr>
        <w:pStyle w:val="15"/>
        <w:spacing w:line="560" w:lineRule="exact"/>
        <w:rPr>
          <w:rFonts w:hint="eastAsia"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B3BE7"/>
    <w:rsid w:val="004F347A"/>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77831"/>
    <w:rsid w:val="00A93AD4"/>
    <w:rsid w:val="00AA15B8"/>
    <w:rsid w:val="00AD787A"/>
    <w:rsid w:val="00B15266"/>
    <w:rsid w:val="00B32111"/>
    <w:rsid w:val="00B60378"/>
    <w:rsid w:val="00BB2D6E"/>
    <w:rsid w:val="00BC28ED"/>
    <w:rsid w:val="00BD0278"/>
    <w:rsid w:val="00BD48B1"/>
    <w:rsid w:val="00C17C4B"/>
    <w:rsid w:val="00C21166"/>
    <w:rsid w:val="00C522BE"/>
    <w:rsid w:val="00C72564"/>
    <w:rsid w:val="00CC4DB3"/>
    <w:rsid w:val="00CD376C"/>
    <w:rsid w:val="00D47BE0"/>
    <w:rsid w:val="00DB4E59"/>
    <w:rsid w:val="00E0270B"/>
    <w:rsid w:val="00E1471B"/>
    <w:rsid w:val="00E35A34"/>
    <w:rsid w:val="00E630A2"/>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CD15B16"/>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4C0E7A"/>
    <w:rsid w:val="75E579CC"/>
    <w:rsid w:val="772B58B2"/>
    <w:rsid w:val="77AD01BE"/>
    <w:rsid w:val="783A18D6"/>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5241</Words>
  <Characters>5349</Characters>
  <Lines>52</Lines>
  <Paragraphs>14</Paragraphs>
  <TotalTime>2</TotalTime>
  <ScaleCrop>false</ScaleCrop>
  <LinksUpToDate>false</LinksUpToDate>
  <CharactersWithSpaces>5944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竹子</cp:lastModifiedBy>
  <dcterms:modified xsi:type="dcterms:W3CDTF">2025-03-19T01:44:32Z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F7C897F0D58E4B1496F699D228CD20E4_13</vt:lpwstr>
  </property>
  <property fmtid="{D5CDD505-2E9C-101B-9397-08002B2CF9AE}" pid="4" name="KSOTemplateDocerSaveRecord">
    <vt:lpwstr>eyJoZGlkIjoiOTViNjkyMDQ5MmI4MWYzYWFjMDc2NWVkMjVlODFjYzkiLCJ1c2VySWQiOiI1ODkwMjY4NzMifQ==</vt:lpwstr>
  </property>
</Properties>
</file>