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2025重点城市交通类广告投放项目</w:t>
      </w:r>
    </w:p>
    <w:p w14:paraId="06A287EE">
      <w:pPr>
        <w:adjustRightInd w:val="0"/>
        <w:snapToGrid w:val="0"/>
        <w:spacing w:line="360" w:lineRule="auto"/>
        <w:ind w:firstLine="567"/>
        <w:jc w:val="center"/>
        <w:rPr>
          <w:rFonts w:hint="eastAsia" w:ascii="仿宋" w:hAnsi="仿宋" w:eastAsia="仿宋"/>
          <w:sz w:val="28"/>
          <w:szCs w:val="28"/>
          <w:highlight w:val="none"/>
        </w:rPr>
      </w:pPr>
      <w:r>
        <w:rPr>
          <w:rFonts w:hint="eastAsia" w:ascii="仿宋" w:hAnsi="仿宋" w:eastAsia="仿宋"/>
          <w:sz w:val="28"/>
          <w:szCs w:val="28"/>
          <w:highlight w:val="none"/>
        </w:rPr>
        <w:t>舍司招(2025)-ZC3-17</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2025重点城市交通类广告投放项目</w:t>
      </w:r>
      <w:r>
        <w:rPr>
          <w:rFonts w:hint="eastAsia"/>
          <w:sz w:val="28"/>
          <w:szCs w:val="28"/>
        </w:rPr>
        <w:t>进行公开招标。</w:t>
      </w:r>
    </w:p>
    <w:p w14:paraId="3489D3E2">
      <w:pPr>
        <w:rPr>
          <w:rFonts w:hint="eastAsia" w:eastAsia="仿宋" w:cs="Times New Roman"/>
          <w:b/>
          <w:bCs/>
          <w:lang w:eastAsia="zh-CN"/>
        </w:rPr>
      </w:pPr>
      <w:r>
        <w:rPr>
          <w:rFonts w:hint="eastAsia" w:cs="Times New Roman"/>
          <w:b/>
          <w:bCs/>
        </w:rPr>
        <w:t>一、项目概况</w:t>
      </w:r>
      <w:r>
        <w:rPr>
          <w:rFonts w:hint="eastAsia" w:cs="Times New Roman"/>
          <w:b/>
          <w:bCs/>
          <w:lang w:eastAsia="zh-CN"/>
        </w:rPr>
        <w:t>：</w:t>
      </w:r>
    </w:p>
    <w:p w14:paraId="153AA55B">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1.1项目名称：2025重点城市交通类广告投放项目</w:t>
      </w:r>
    </w:p>
    <w:p w14:paraId="087358D5">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14:paraId="1EBD3C7A">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四川、湖北、湖南、河北、辽宁、甘肃、天津、河南、山东、江苏</w:t>
      </w:r>
    </w:p>
    <w:p w14:paraId="2F1CA86A">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1.3需求资源类型：媒体资源类型为公交车身、公交站台。</w:t>
      </w:r>
    </w:p>
    <w:p w14:paraId="24ACB4D4">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本项目为招标人指定点位资源池招标，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点位资源池将在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sz w:val="28"/>
          <w:szCs w:val="28"/>
          <w:highlight w:val="none"/>
        </w:rPr>
      </w:pPr>
      <w:bookmarkStart w:id="0" w:name="OLE_LINK2"/>
      <w:bookmarkStart w:id="1"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5392AB27">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8</w:t>
      </w:r>
      <w:r>
        <w:rPr>
          <w:rFonts w:hint="eastAsia" w:ascii="仿宋" w:hAnsi="仿宋" w:eastAsia="仿宋"/>
          <w:bCs/>
          <w:sz w:val="28"/>
          <w:szCs w:val="28"/>
          <w:highlight w:val="none"/>
        </w:rPr>
        <w:t>项目资金来源：自有资金。</w:t>
      </w:r>
    </w:p>
    <w:p w14:paraId="62226DCB">
      <w:pPr>
        <w:rPr>
          <w:rFonts w:hint="eastAsia" w:cs="Times New Roman"/>
          <w:b/>
          <w:bCs/>
        </w:rPr>
      </w:pPr>
      <w:r>
        <w:rPr>
          <w:rFonts w:hint="eastAsia" w:cs="Times New Roman"/>
          <w:b/>
          <w:bCs/>
        </w:rPr>
        <w:t>二、参与投标的潜在投标人需符合以下条件：</w:t>
      </w:r>
    </w:p>
    <w:p w14:paraId="6A882244">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27A9E5F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14:paraId="53027F2B">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rPr>
      </w:pPr>
      <w:r>
        <w:rPr>
          <w:rFonts w:hint="eastAsia" w:cs="Times New Roman"/>
          <w:b/>
          <w:bCs/>
        </w:rPr>
        <w:t>三、投标保证金：</w:t>
      </w:r>
    </w:p>
    <w:p w14:paraId="78D12AA4">
      <w:pPr>
        <w:tabs>
          <w:tab w:val="left" w:pos="360"/>
        </w:tabs>
        <w:spacing w:line="360" w:lineRule="auto"/>
        <w:rPr>
          <w:rFonts w:hint="eastAsia" w:ascii="仿宋" w:hAnsi="仿宋" w:eastAsia="仿宋" w:cs="Times New Roman"/>
          <w:sz w:val="28"/>
          <w:szCs w:val="28"/>
          <w:highlight w:val="none"/>
        </w:rPr>
      </w:pPr>
      <w:bookmarkStart w:id="2" w:name="_Hlk114040189"/>
      <w:bookmarkStart w:id="3" w:name="_Hlk114040219"/>
      <w:r>
        <w:rPr>
          <w:rFonts w:hint="eastAsia" w:ascii="仿宋" w:hAnsi="仿宋" w:eastAsia="仿宋" w:cs="Times New Roman"/>
          <w:sz w:val="28"/>
          <w:szCs w:val="28"/>
          <w:highlight w:val="none"/>
        </w:rPr>
        <w:t>3.1 投标保证金：</w:t>
      </w:r>
      <w:r>
        <w:rPr>
          <w:rFonts w:hint="eastAsia" w:ascii="仿宋" w:hAnsi="仿宋" w:eastAsia="仿宋" w:cs="Times New Roman"/>
          <w:sz w:val="28"/>
          <w:szCs w:val="28"/>
          <w:highlight w:val="none"/>
          <w:lang w:val="en-US" w:eastAsia="zh-CN"/>
        </w:rPr>
        <w:t>100,000元</w:t>
      </w:r>
      <w:r>
        <w:rPr>
          <w:rFonts w:hint="eastAsia" w:ascii="仿宋" w:hAnsi="仿宋" w:eastAsia="仿宋" w:cs="Times New Roman"/>
          <w:sz w:val="28"/>
          <w:szCs w:val="28"/>
          <w:highlight w:val="none"/>
        </w:rPr>
        <w:t>(</w:t>
      </w:r>
      <w:r>
        <w:rPr>
          <w:rFonts w:hint="eastAsia" w:ascii="仿宋" w:hAnsi="仿宋" w:eastAsia="仿宋" w:cs="Times New Roman"/>
          <w:sz w:val="28"/>
          <w:szCs w:val="28"/>
          <w:highlight w:val="none"/>
          <w:lang w:val="en-US" w:eastAsia="zh-CN"/>
        </w:rPr>
        <w:t>人民币拾万</w:t>
      </w:r>
      <w:r>
        <w:rPr>
          <w:rFonts w:hint="eastAsia" w:ascii="仿宋" w:hAnsi="仿宋" w:eastAsia="仿宋" w:cs="Times New Roman"/>
          <w:sz w:val="28"/>
          <w:szCs w:val="28"/>
          <w:highlight w:val="none"/>
        </w:rPr>
        <w:t>元整</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投标人可在收到招标文件且确认参标后，</w:t>
      </w:r>
      <w:r>
        <w:rPr>
          <w:rFonts w:hint="eastAsia" w:ascii="仿宋" w:hAnsi="仿宋" w:eastAsia="仿宋" w:cs="Times New Roman"/>
          <w:sz w:val="28"/>
          <w:szCs w:val="28"/>
          <w:highlight w:val="none"/>
          <w:lang w:val="en-US" w:eastAsia="zh-CN"/>
        </w:rPr>
        <w:t>在规定时间内上传保证金缴纳凭证</w:t>
      </w:r>
      <w:r>
        <w:rPr>
          <w:rFonts w:hint="eastAsia" w:ascii="仿宋" w:hAnsi="仿宋" w:eastAsia="仿宋" w:cs="Times New Roman"/>
          <w:sz w:val="28"/>
          <w:szCs w:val="28"/>
          <w:highlight w:val="none"/>
        </w:rPr>
        <w:t>。投标人以网银转账或电汇方式缴纳至招标人指定账户，转账需备注“</w:t>
      </w:r>
      <w:r>
        <w:rPr>
          <w:rFonts w:hint="eastAsia" w:ascii="仿宋" w:hAnsi="仿宋" w:eastAsia="仿宋" w:cs="Times New Roman"/>
          <w:sz w:val="28"/>
          <w:szCs w:val="28"/>
          <w:highlight w:val="none"/>
          <w:lang w:eastAsia="zh-CN"/>
        </w:rPr>
        <w:t>202</w:t>
      </w:r>
      <w:r>
        <w:rPr>
          <w:rFonts w:hint="eastAsia" w:ascii="仿宋" w:hAnsi="仿宋" w:eastAsia="仿宋" w:cs="Times New Roman"/>
          <w:sz w:val="28"/>
          <w:szCs w:val="28"/>
          <w:highlight w:val="none"/>
          <w:lang w:val="en-US" w:eastAsia="zh-CN"/>
        </w:rPr>
        <w:t>5交通类广告</w:t>
      </w:r>
      <w:r>
        <w:rPr>
          <w:rFonts w:hint="eastAsia" w:ascii="仿宋" w:hAnsi="仿宋" w:eastAsia="仿宋" w:cs="Times New Roman"/>
          <w:sz w:val="28"/>
          <w:szCs w:val="28"/>
          <w:highlight w:val="none"/>
          <w:lang w:eastAsia="zh-CN"/>
        </w:rPr>
        <w:t>-投标保证金</w:t>
      </w:r>
      <w:r>
        <w:rPr>
          <w:rFonts w:hint="eastAsia" w:ascii="仿宋" w:hAnsi="仿宋" w:eastAsia="仿宋" w:cs="Times New Roman"/>
          <w:sz w:val="28"/>
          <w:szCs w:val="28"/>
          <w:highlight w:val="none"/>
        </w:rPr>
        <w:t>”，投标保证金缴纳后登陆舍得酒业招采数字化平台（网址：https://ssrm.shede.com.cn）点击页面顶部“一链网”，在</w:t>
      </w:r>
      <w:r>
        <w:rPr>
          <w:rFonts w:hint="eastAsia" w:ascii="仿宋" w:hAnsi="仿宋" w:eastAsia="仿宋" w:cs="Times New Roman"/>
          <w:sz w:val="28"/>
          <w:szCs w:val="28"/>
          <w:highlight w:val="none"/>
          <w:lang w:val="en-US" w:eastAsia="zh-CN"/>
        </w:rPr>
        <w:t>截止</w:t>
      </w:r>
      <w:r>
        <w:rPr>
          <w:rFonts w:hint="eastAsia" w:ascii="仿宋" w:hAnsi="仿宋" w:eastAsia="仿宋" w:cs="Times New Roman"/>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2025年5月8日下午16:00前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14:paraId="4315819E">
      <w:pPr>
        <w:tabs>
          <w:tab w:val="left" w:pos="360"/>
        </w:tabs>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3.2 保证金退还</w:t>
      </w:r>
    </w:p>
    <w:p w14:paraId="603C51D3">
      <w:pPr>
        <w:tabs>
          <w:tab w:val="left" w:pos="360"/>
        </w:tabs>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未中标方在我司公示</w:t>
      </w:r>
      <w:r>
        <w:rPr>
          <w:rFonts w:hint="eastAsia" w:ascii="仿宋" w:hAnsi="仿宋" w:eastAsia="仿宋" w:cs="Times New Roman"/>
          <w:sz w:val="28"/>
          <w:szCs w:val="28"/>
          <w:highlight w:val="none"/>
          <w:lang w:val="en-US" w:eastAsia="zh-CN"/>
        </w:rPr>
        <w:t>中选</w:t>
      </w:r>
      <w:r>
        <w:rPr>
          <w:rFonts w:hint="eastAsia" w:ascii="仿宋" w:hAnsi="仿宋" w:eastAsia="仿宋" w:cs="Times New Roman"/>
          <w:sz w:val="28"/>
          <w:szCs w:val="28"/>
          <w:highlight w:val="none"/>
        </w:rPr>
        <w:t>人后</w:t>
      </w:r>
      <w:r>
        <w:rPr>
          <w:rFonts w:hint="eastAsia" w:ascii="仿宋" w:hAnsi="仿宋" w:eastAsia="仿宋" w:cs="Times New Roman"/>
          <w:sz w:val="28"/>
          <w:szCs w:val="28"/>
          <w:highlight w:val="none"/>
          <w:lang w:val="en-US" w:eastAsia="zh-CN"/>
        </w:rPr>
        <w:t>30</w:t>
      </w:r>
      <w:r>
        <w:rPr>
          <w:rFonts w:hint="eastAsia" w:ascii="仿宋" w:hAnsi="仿宋" w:eastAsia="仿宋" w:cs="Times New Roman"/>
          <w:sz w:val="28"/>
          <w:szCs w:val="28"/>
          <w:highlight w:val="none"/>
        </w:rPr>
        <w:t>日内一次性不计利息按原汇款路径退还投标保证金；</w:t>
      </w:r>
    </w:p>
    <w:p w14:paraId="5B36A97D">
      <w:pPr>
        <w:tabs>
          <w:tab w:val="left" w:pos="360"/>
        </w:tabs>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中标方投标保证金在对应中标合同双方签订后</w:t>
      </w:r>
      <w:r>
        <w:rPr>
          <w:rFonts w:hint="eastAsia" w:ascii="仿宋" w:hAnsi="仿宋" w:eastAsia="仿宋" w:cs="Times New Roman"/>
          <w:sz w:val="28"/>
          <w:szCs w:val="28"/>
          <w:highlight w:val="none"/>
          <w:lang w:val="en-US" w:eastAsia="zh-CN"/>
        </w:rPr>
        <w:t>30</w:t>
      </w:r>
      <w:r>
        <w:rPr>
          <w:rFonts w:hint="eastAsia" w:ascii="仿宋" w:hAnsi="仿宋" w:eastAsia="仿宋" w:cs="Times New Roman"/>
          <w:sz w:val="28"/>
          <w:szCs w:val="28"/>
          <w:highlight w:val="none"/>
        </w:rPr>
        <w:t>日内全额退还。</w:t>
      </w:r>
    </w:p>
    <w:bookmarkEnd w:id="2"/>
    <w:p w14:paraId="6385C5C3">
      <w:pPr>
        <w:tabs>
          <w:tab w:val="left" w:pos="360"/>
        </w:tabs>
        <w:spacing w:line="360" w:lineRule="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rPr>
      </w:pPr>
      <w:r>
        <w:rPr>
          <w:rFonts w:hint="eastAsia"/>
          <w:b/>
          <w:bCs/>
        </w:rPr>
        <w:t>四、</w:t>
      </w:r>
      <w:r>
        <w:rPr>
          <w:b/>
          <w:bCs/>
        </w:rPr>
        <w:t>投标报名联系人</w:t>
      </w:r>
      <w:r>
        <w:rPr>
          <w:rFonts w:hint="eastAsia"/>
          <w:b/>
          <w:bCs/>
        </w:rPr>
        <w:t>及时间安排</w:t>
      </w:r>
      <w:r>
        <w:rPr>
          <w:b/>
          <w:bCs/>
        </w:rPr>
        <w:t>：</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2025年4月</w:t>
      </w:r>
      <w:r>
        <w:rPr>
          <w:rFonts w:hint="eastAsia" w:cs="仿宋"/>
          <w:color w:val="auto"/>
          <w:sz w:val="28"/>
          <w:szCs w:val="28"/>
          <w:highlight w:val="none"/>
          <w:lang w:val="en-US" w:eastAsia="zh-CN"/>
        </w:rPr>
        <w:t>21</w:t>
      </w:r>
      <w:bookmarkStart w:id="5" w:name="_GoBack"/>
      <w:bookmarkEnd w:id="5"/>
      <w:r>
        <w:rPr>
          <w:rFonts w:hint="eastAsia" w:ascii="仿宋" w:hAnsi="仿宋" w:eastAsia="仿宋" w:cs="仿宋"/>
          <w:color w:val="auto"/>
          <w:sz w:val="28"/>
          <w:szCs w:val="28"/>
          <w:highlight w:val="none"/>
          <w:lang w:eastAsia="zh-CN"/>
        </w:rPr>
        <w:t>日上午12:00前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2025年4月28日</w:t>
      </w:r>
    </w:p>
    <w:p w14:paraId="2DC2DA3B">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保证金凭证上传截止时间：2025年5月8日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2025年5月11日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2025年5月11日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77AA932D">
      <w:pPr>
        <w:pStyle w:val="5"/>
      </w:pPr>
    </w:p>
    <w:bookmarkEnd w:id="3"/>
    <w:p w14:paraId="65DD2B05">
      <w:pPr>
        <w:rPr>
          <w:rFonts w:hint="eastAsia"/>
          <w:b/>
          <w:bCs/>
          <w:sz w:val="28"/>
          <w:szCs w:val="28"/>
        </w:rPr>
      </w:pPr>
      <w:r>
        <w:rPr>
          <w:rFonts w:hint="eastAsia"/>
          <w:b/>
          <w:bCs/>
          <w:sz w:val="28"/>
          <w:szCs w:val="28"/>
        </w:rPr>
        <w:t>五、附件</w:t>
      </w:r>
    </w:p>
    <w:p w14:paraId="70C83A73">
      <w:pPr>
        <w:rPr>
          <w:rFonts w:hint="eastAsia"/>
          <w:sz w:val="28"/>
          <w:szCs w:val="28"/>
        </w:rPr>
      </w:pPr>
      <w:r>
        <w:rPr>
          <w:rFonts w:hint="eastAsia"/>
          <w:sz w:val="28"/>
          <w:szCs w:val="28"/>
        </w:rPr>
        <w:t>附件一：</w:t>
      </w:r>
      <w:r>
        <w:rPr>
          <w:sz w:val="28"/>
          <w:szCs w:val="28"/>
        </w:rPr>
        <w:t>资格预审必要合格条件标准</w:t>
      </w:r>
    </w:p>
    <w:p w14:paraId="4C775399">
      <w:pPr>
        <w:rPr>
          <w:rFonts w:hint="eastAsia"/>
          <w:sz w:val="28"/>
          <w:szCs w:val="28"/>
        </w:rPr>
      </w:pPr>
      <w:r>
        <w:rPr>
          <w:rFonts w:hint="eastAsia"/>
          <w:sz w:val="28"/>
          <w:szCs w:val="28"/>
        </w:rPr>
        <w:t>附件二：投标预审资料提交模板（点击文章末尾下载）</w:t>
      </w:r>
    </w:p>
    <w:p w14:paraId="6538D055">
      <w:pPr>
        <w:ind w:right="320"/>
        <w:jc w:val="right"/>
        <w:rPr>
          <w:rFonts w:hint="eastAsia"/>
          <w:sz w:val="28"/>
          <w:szCs w:val="28"/>
        </w:rPr>
      </w:pPr>
      <w:r>
        <w:rPr>
          <w:rFonts w:hint="eastAsia"/>
          <w:sz w:val="28"/>
          <w:szCs w:val="28"/>
        </w:rPr>
        <w:t>四川沱牌舍得营销有限公司</w:t>
      </w:r>
    </w:p>
    <w:p w14:paraId="57FEDB7D">
      <w:pPr>
        <w:ind w:right="320"/>
        <w:jc w:val="right"/>
        <w:rPr>
          <w:rFonts w:hint="eastAsia"/>
          <w:sz w:val="28"/>
          <w:szCs w:val="28"/>
        </w:rPr>
      </w:pPr>
      <w:r>
        <w:rPr>
          <w:rFonts w:hint="eastAsia"/>
          <w:sz w:val="28"/>
          <w:szCs w:val="28"/>
        </w:rPr>
        <w:t>2025年</w:t>
      </w:r>
      <w:r>
        <w:rPr>
          <w:rFonts w:hint="eastAsia"/>
          <w:sz w:val="28"/>
          <w:szCs w:val="28"/>
          <w:lang w:val="en-US" w:eastAsia="zh-CN"/>
        </w:rPr>
        <w:t>4</w:t>
      </w:r>
      <w:r>
        <w:rPr>
          <w:rFonts w:hint="eastAsia"/>
          <w:sz w:val="28"/>
          <w:szCs w:val="28"/>
        </w:rPr>
        <w:t>月</w:t>
      </w:r>
      <w:r>
        <w:rPr>
          <w:rFonts w:hint="eastAsia"/>
          <w:sz w:val="28"/>
          <w:szCs w:val="28"/>
          <w:lang w:val="en-US" w:eastAsia="zh-CN"/>
        </w:rPr>
        <w:t>15</w:t>
      </w:r>
      <w:r>
        <w:rPr>
          <w:rFonts w:hint="eastAsia"/>
          <w:sz w:val="28"/>
          <w:szCs w:val="28"/>
        </w:rPr>
        <w:t>日</w:t>
      </w:r>
    </w:p>
    <w:p w14:paraId="66C93CEC">
      <w:pPr>
        <w:rPr>
          <w:sz w:val="28"/>
          <w:szCs w:val="28"/>
        </w:rPr>
      </w:pPr>
    </w:p>
    <w:p w14:paraId="33113F93">
      <w:pPr>
        <w:rPr>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sz w:val="28"/>
          <w:szCs w:val="28"/>
        </w:rPr>
      </w:pPr>
      <w:r>
        <w:rPr>
          <w:rFonts w:hint="eastAsia"/>
          <w:sz w:val="28"/>
          <w:szCs w:val="28"/>
        </w:rPr>
        <w:t>招采中心：028-61863833-2</w:t>
      </w:r>
    </w:p>
    <w:p w14:paraId="0714FD6F"/>
    <w:p w14:paraId="054DF340">
      <w:pPr>
        <w:rPr>
          <w:rFonts w:hint="eastAsia"/>
        </w:rPr>
      </w:pPr>
    </w:p>
    <w:p w14:paraId="06479B6C">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5884AEB6">
            <w:pPr>
              <w:spacing w:line="360" w:lineRule="auto"/>
              <w:ind w:left="0" w:leftChars="0" w:firstLine="0" w:firstLineChars="0"/>
              <w:jc w:val="both"/>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71DC3255">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2D9127F5">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3DCD64E4">
            <w:pPr>
              <w:spacing w:line="360" w:lineRule="auto"/>
              <w:ind w:left="0" w:leftChars="0" w:firstLine="0" w:firstLineChars="0"/>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7319D746">
            <w:pPr>
              <w:spacing w:line="360" w:lineRule="auto"/>
              <w:ind w:left="0" w:leftChars="0" w:firstLine="0" w:firstLineChars="0"/>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4D0E2470">
            <w:pPr>
              <w:spacing w:line="360" w:lineRule="auto"/>
              <w:ind w:left="0" w:leftChars="0" w:firstLine="0" w:firstLineChars="0"/>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517" w:type="pct"/>
            <w:vAlign w:val="center"/>
          </w:tcPr>
          <w:p w14:paraId="74F218A5">
            <w:pPr>
              <w:spacing w:line="360" w:lineRule="auto"/>
              <w:ind w:left="0" w:leftChars="0" w:firstLine="0" w:firstLineChars="0"/>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01341538">
            <w:pPr>
              <w:spacing w:line="360" w:lineRule="auto"/>
              <w:ind w:left="0" w:leftChars="0" w:firstLine="0" w:firstLineChars="0"/>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29327F15">
            <w:pPr>
              <w:pStyle w:val="2"/>
              <w:spacing w:line="360" w:lineRule="auto"/>
              <w:ind w:left="0" w:leftChars="0" w:firstLine="0" w:firstLineChars="0"/>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spacing w:line="360" w:lineRule="auto"/>
              <w:ind w:left="0" w:leftChars="0" w:firstLine="0" w:firstLineChars="0"/>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4D88CC6">
            <w:pPr>
              <w:spacing w:line="360" w:lineRule="auto"/>
              <w:ind w:left="0" w:leftChars="0" w:firstLine="0" w:firstLineChars="0"/>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34942F7C">
            <w:pPr>
              <w:spacing w:line="360" w:lineRule="auto"/>
              <w:ind w:left="0" w:leftChars="0" w:firstLine="0" w:firstLineChars="0"/>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34B20665">
            <w:pPr>
              <w:spacing w:line="360" w:lineRule="auto"/>
              <w:ind w:left="0" w:leftChars="0" w:firstLine="0" w:firstLineChars="0"/>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4312F419">
            <w:pPr>
              <w:tabs>
                <w:tab w:val="center" w:pos="4153"/>
                <w:tab w:val="right" w:pos="8306"/>
              </w:tabs>
              <w:snapToGrid w:val="0"/>
              <w:spacing w:line="360" w:lineRule="auto"/>
              <w:ind w:left="0" w:leftChars="0" w:firstLine="0" w:firstLineChars="0"/>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353A6FCF">
            <w:pPr>
              <w:spacing w:line="360" w:lineRule="auto"/>
              <w:ind w:left="0" w:leftChars="0" w:firstLine="0" w:firstLineChars="0"/>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F315E9D">
            <w:pPr>
              <w:widowControl/>
              <w:spacing w:line="360" w:lineRule="auto"/>
              <w:ind w:left="0" w:leftChars="0" w:firstLine="0" w:firstLineChars="0"/>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交通类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2022</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相同媒体资源类型投放的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4E8C2F">
            <w:pPr>
              <w:tabs>
                <w:tab w:val="center" w:pos="4153"/>
                <w:tab w:val="right" w:pos="8306"/>
              </w:tabs>
              <w:snapToGrid w:val="0"/>
              <w:spacing w:line="360" w:lineRule="auto"/>
              <w:ind w:left="0" w:leftChars="0" w:firstLine="0" w:firstLineChars="0"/>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72605C1C">
            <w:pPr>
              <w:spacing w:line="360" w:lineRule="auto"/>
              <w:ind w:left="0" w:leftChars="0" w:firstLine="0" w:firstLineChars="0"/>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590812CE">
            <w:pPr>
              <w:spacing w:line="360" w:lineRule="auto"/>
              <w:ind w:left="0" w:leftChars="0" w:firstLine="0" w:firstLineChars="0"/>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4"/>
    <w:p w14:paraId="33125866">
      <w:pPr>
        <w:spacing w:line="360" w:lineRule="auto"/>
        <w:ind w:left="438"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3E6349F9">
      <w:pPr>
        <w:numPr>
          <w:ilvl w:val="0"/>
          <w:numId w:val="1"/>
        </w:numPr>
        <w:spacing w:line="360" w:lineRule="auto"/>
        <w:ind w:firstLine="405"/>
        <w:jc w:val="left"/>
        <w:rPr>
          <w:rFonts w:hint="eastAsia" w:ascii="仿宋" w:hAnsi="仿宋" w:eastAsia="仿宋"/>
          <w:sz w:val="22"/>
          <w:szCs w:val="21"/>
          <w:highlight w:val="none"/>
        </w:rPr>
      </w:pPr>
      <w:r>
        <w:rPr>
          <w:rFonts w:hint="eastAsia" w:ascii="仿宋" w:hAnsi="仿宋" w:eastAsia="仿宋"/>
          <w:sz w:val="22"/>
          <w:szCs w:val="21"/>
          <w:highlight w:val="none"/>
        </w:rPr>
        <w:t>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6E8CA80">
      <w:pPr>
        <w:numPr>
          <w:ilvl w:val="0"/>
          <w:numId w:val="1"/>
        </w:numPr>
        <w:spacing w:line="360" w:lineRule="auto"/>
        <w:ind w:firstLine="405"/>
        <w:jc w:val="left"/>
        <w:rPr>
          <w:rFonts w:ascii="仿宋" w:hAnsi="仿宋" w:eastAsia="仿宋"/>
          <w:sz w:val="20"/>
          <w:szCs w:val="21"/>
          <w:highlight w:val="none"/>
        </w:rPr>
      </w:pPr>
      <w:r>
        <w:rPr>
          <w:rFonts w:hint="eastAsia" w:ascii="仿宋" w:hAnsi="仿宋" w:eastAsia="仿宋"/>
          <w:sz w:val="22"/>
          <w:szCs w:val="21"/>
          <w:highlight w:val="none"/>
        </w:rPr>
        <w:t>除《附件一》中要求提供的文件外，可以另外提供投标人认为有必要的其他资质文件。</w:t>
      </w:r>
    </w:p>
    <w:p w14:paraId="2813B630">
      <w:pPr>
        <w:ind w:left="0" w:leftChars="0" w:firstLine="0" w:firstLineChars="0"/>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B9C14"/>
    <w:multiLevelType w:val="singleLevel"/>
    <w:tmpl w:val="89EB9C14"/>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 w:val="79DB24B0"/>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2106</Words>
  <Characters>2390</Characters>
  <Lines>19</Lines>
  <Paragraphs>5</Paragraphs>
  <TotalTime>4</TotalTime>
  <ScaleCrop>false</ScaleCrop>
  <LinksUpToDate>false</LinksUpToDate>
  <CharactersWithSpaces>2415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2025-04-14T05:57:20Z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