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C9AC0">
      <w:pPr>
        <w:pStyle w:val="12"/>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14:paraId="7311000A">
      <w:pPr>
        <w:spacing w:line="460" w:lineRule="exact"/>
        <w:ind w:right="6"/>
        <w:jc w:val="center"/>
        <w:rPr>
          <w:rFonts w:hint="eastAsia" w:ascii="Times New Roman" w:hAnsi="Times New Roman" w:eastAsia="宋体" w:cs="Times New Roman"/>
          <w:b/>
          <w:bCs/>
          <w:caps w:val="0"/>
          <w:kern w:val="2"/>
          <w:sz w:val="28"/>
          <w:szCs w:val="28"/>
          <w:lang w:val="en-US" w:eastAsia="zh-CN" w:bidi="ar-SA"/>
        </w:rPr>
      </w:pPr>
      <w:r>
        <w:rPr>
          <w:rFonts w:hint="eastAsia" w:ascii="Times New Roman" w:hAnsi="Times New Roman" w:eastAsia="宋体" w:cs="Times New Roman"/>
          <w:b/>
          <w:bCs/>
          <w:caps w:val="0"/>
          <w:kern w:val="2"/>
          <w:sz w:val="28"/>
          <w:szCs w:val="28"/>
          <w:lang w:val="en-US" w:eastAsia="zh-CN" w:bidi="ar-SA"/>
        </w:rPr>
        <w:t>舍得酒业黄沙及永和智能酿造区建设项目</w:t>
      </w:r>
      <w:r>
        <w:rPr>
          <w:rFonts w:hint="eastAsia" w:cs="Times New Roman"/>
          <w:b/>
          <w:bCs/>
          <w:caps w:val="0"/>
          <w:kern w:val="2"/>
          <w:sz w:val="28"/>
          <w:szCs w:val="28"/>
          <w:lang w:val="en-US" w:eastAsia="zh-CN" w:bidi="ar-SA"/>
        </w:rPr>
        <w:t>-</w:t>
      </w:r>
      <w:r>
        <w:rPr>
          <w:rFonts w:hint="eastAsia" w:ascii="Times New Roman" w:hAnsi="Times New Roman" w:eastAsia="宋体" w:cs="Times New Roman"/>
          <w:b/>
          <w:bCs/>
          <w:caps w:val="0"/>
          <w:kern w:val="2"/>
          <w:sz w:val="28"/>
          <w:szCs w:val="28"/>
          <w:lang w:val="en-US" w:eastAsia="zh-CN" w:bidi="ar-SA"/>
        </w:rPr>
        <w:t>短沟湾储酒库（一期）施工总承包</w:t>
      </w:r>
    </w:p>
    <w:p w14:paraId="30889AB8">
      <w:pPr>
        <w:pStyle w:val="12"/>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招标公告</w:t>
      </w:r>
    </w:p>
    <w:p w14:paraId="5B1362BD">
      <w:pPr>
        <w:pStyle w:val="12"/>
        <w:jc w:val="center"/>
        <w:rPr>
          <w:rFonts w:hint="default" w:ascii="Times New Roman" w:hAnsi="Times New Roman" w:eastAsia="宋体"/>
          <w:caps w:val="0"/>
          <w:highlight w:val="none"/>
          <w:lang w:val="en-US" w:eastAsia="zh-CN"/>
        </w:rPr>
      </w:pPr>
      <w:r>
        <w:rPr>
          <w:rFonts w:hint="eastAsia" w:ascii="Times New Roman" w:hAnsi="Times New Roman"/>
          <w:caps w:val="0"/>
          <w:highlight w:val="none"/>
        </w:rPr>
        <w:t>舍司招（202</w:t>
      </w:r>
      <w:r>
        <w:rPr>
          <w:rFonts w:hint="eastAsia" w:ascii="Times New Roman" w:hAnsi="Times New Roman"/>
          <w:caps w:val="0"/>
          <w:highlight w:val="none"/>
          <w:lang w:val="en-US" w:eastAsia="zh-CN"/>
        </w:rPr>
        <w:t>5</w:t>
      </w:r>
      <w:r>
        <w:rPr>
          <w:rFonts w:hint="eastAsia" w:ascii="Times New Roman" w:hAnsi="Times New Roman"/>
          <w:caps w:val="0"/>
          <w:highlight w:val="none"/>
        </w:rPr>
        <w:t>）ZC2-0</w:t>
      </w:r>
      <w:r>
        <w:rPr>
          <w:rFonts w:hint="eastAsia" w:ascii="Times New Roman" w:hAnsi="Times New Roman"/>
          <w:caps w:val="0"/>
          <w:highlight w:val="none"/>
          <w:lang w:val="en-US" w:eastAsia="zh-CN"/>
        </w:rPr>
        <w:t>16</w:t>
      </w:r>
    </w:p>
    <w:p w14:paraId="6CE40984">
      <w:pPr>
        <w:pStyle w:val="12"/>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14:paraId="4231FBEB">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ascii="Times New Roman" w:hAnsi="Times New Roman" w:eastAsia="宋体" w:cs="微软雅黑"/>
          <w:caps w:val="0"/>
          <w:sz w:val="24"/>
          <w:u w:val="single"/>
          <w:lang w:val="en-US" w:eastAsia="zh-CN"/>
        </w:rPr>
        <w:t>舍得酒业黄沙及永和智能酿造区建设项目-短沟湾储酒库（一期）施工总承包</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建筑工程施工总承包</w:t>
      </w:r>
      <w:r>
        <w:rPr>
          <w:rFonts w:hint="eastAsia" w:ascii="Times New Roman" w:hAnsi="Times New Roman" w:cs="微软雅黑"/>
          <w:caps w:val="0"/>
          <w:sz w:val="24"/>
        </w:rPr>
        <w:t>进行公开招标。</w:t>
      </w:r>
    </w:p>
    <w:p w14:paraId="5E559BC4">
      <w:pPr>
        <w:pStyle w:val="12"/>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609DA462">
      <w:pPr>
        <w:snapToGrid w:val="0"/>
        <w:spacing w:line="460" w:lineRule="exact"/>
        <w:rPr>
          <w:rFonts w:hint="eastAsia" w:ascii="Times New Roman" w:hAnsi="Times New Roman" w:eastAsia="宋体" w:cs="微软雅黑"/>
          <w:caps w:val="0"/>
          <w:sz w:val="24"/>
          <w:lang w:eastAsia="zh-CN"/>
        </w:rPr>
      </w:pPr>
      <w:r>
        <w:rPr>
          <w:rFonts w:hint="eastAsia" w:ascii="宋体" w:hAnsi="宋体" w:cs="仿宋_GB2312"/>
          <w:snapToGrid w:val="0"/>
          <w:color w:val="auto"/>
          <w:kern w:val="0"/>
          <w:sz w:val="24"/>
          <w:highlight w:val="none"/>
        </w:rPr>
        <w:t>2.1项目名称：</w:t>
      </w:r>
      <w:r>
        <w:rPr>
          <w:rFonts w:hint="eastAsia" w:ascii="Times New Roman" w:hAnsi="Times New Roman" w:eastAsia="宋体" w:cs="微软雅黑"/>
          <w:caps w:val="0"/>
          <w:sz w:val="24"/>
          <w:lang w:val="en-US" w:eastAsia="zh-CN"/>
        </w:rPr>
        <w:t>舍得酒业黄沙及永和智能酿造区建设项目-短沟湾储酒库（一期）施工总承包</w:t>
      </w:r>
    </w:p>
    <w:p w14:paraId="1BD932E1">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w:t>
      </w:r>
    </w:p>
    <w:p w14:paraId="2F752AAA">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14:paraId="480DD0B4">
      <w:pPr>
        <w:spacing w:line="360" w:lineRule="auto"/>
        <w:ind w:right="6" w:firstLine="480" w:firstLineChars="200"/>
        <w:jc w:val="left"/>
        <w:rPr>
          <w:rFonts w:hint="eastAsia" w:ascii="宋体" w:hAnsi="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cs="仿宋_GB2312"/>
          <w:snapToGrid w:val="0"/>
          <w:color w:val="auto"/>
          <w:kern w:val="0"/>
          <w:sz w:val="24"/>
          <w:highlight w:val="none"/>
          <w:lang w:val="en-US" w:eastAsia="zh-CN"/>
        </w:rPr>
        <w:t>项目位于</w:t>
      </w:r>
      <w:r>
        <w:rPr>
          <w:rFonts w:hint="eastAsia" w:ascii="宋体" w:hAnsi="宋体" w:cs="仿宋_GB2312"/>
          <w:snapToGrid w:val="0"/>
          <w:color w:val="auto"/>
          <w:kern w:val="0"/>
          <w:sz w:val="24"/>
          <w:highlight w:val="none"/>
          <w:lang w:val="zh-CN" w:eastAsia="zh-CN"/>
        </w:rPr>
        <w:t>四川省</w:t>
      </w:r>
      <w:r>
        <w:rPr>
          <w:rFonts w:hint="eastAsia" w:ascii="宋体" w:hAnsi="宋体" w:cs="仿宋_GB2312"/>
          <w:snapToGrid w:val="0"/>
          <w:color w:val="auto"/>
          <w:kern w:val="0"/>
          <w:sz w:val="24"/>
          <w:highlight w:val="none"/>
          <w:lang w:val="en-US" w:eastAsia="zh-CN"/>
        </w:rPr>
        <w:t>遂宁市</w:t>
      </w:r>
      <w:r>
        <w:rPr>
          <w:rFonts w:hint="eastAsia" w:ascii="宋体" w:hAnsi="宋体" w:cs="仿宋_GB2312"/>
          <w:snapToGrid w:val="0"/>
          <w:color w:val="auto"/>
          <w:kern w:val="0"/>
          <w:sz w:val="24"/>
          <w:highlight w:val="none"/>
          <w:lang w:val="zh-CN" w:eastAsia="zh-CN"/>
        </w:rPr>
        <w:t>射洪市沱牌镇沱牌大道999号，建设场地</w:t>
      </w:r>
      <w:r>
        <w:rPr>
          <w:rFonts w:hint="eastAsia" w:ascii="宋体" w:hAnsi="宋体" w:cs="仿宋_GB2312"/>
          <w:snapToGrid w:val="0"/>
          <w:color w:val="auto"/>
          <w:kern w:val="0"/>
          <w:sz w:val="24"/>
          <w:highlight w:val="none"/>
          <w:lang w:eastAsia="zh-CN"/>
        </w:rPr>
        <w:t>位</w:t>
      </w:r>
      <w:r>
        <w:rPr>
          <w:rFonts w:hint="eastAsia" w:ascii="宋体" w:hAnsi="宋体" w:cs="仿宋_GB2312"/>
          <w:snapToGrid w:val="0"/>
          <w:color w:val="auto"/>
          <w:kern w:val="0"/>
          <w:sz w:val="24"/>
          <w:highlight w:val="none"/>
          <w:lang w:val="zh-CN" w:eastAsia="zh-CN"/>
        </w:rPr>
        <w:t>于</w:t>
      </w:r>
      <w:r>
        <w:rPr>
          <w:rFonts w:hint="eastAsia" w:ascii="宋体" w:hAnsi="宋体" w:cs="仿宋_GB2312"/>
          <w:snapToGrid w:val="0"/>
          <w:color w:val="auto"/>
          <w:kern w:val="0"/>
          <w:sz w:val="24"/>
          <w:highlight w:val="none"/>
          <w:lang w:val="en-US" w:eastAsia="zh-CN"/>
        </w:rPr>
        <w:t>大佛路西侧</w:t>
      </w:r>
      <w:r>
        <w:rPr>
          <w:rFonts w:hint="eastAsia" w:ascii="宋体" w:hAnsi="宋体" w:cs="仿宋_GB2312"/>
          <w:snapToGrid w:val="0"/>
          <w:color w:val="auto"/>
          <w:kern w:val="0"/>
          <w:sz w:val="24"/>
          <w:highlight w:val="none"/>
          <w:lang w:eastAsia="zh-CN"/>
        </w:rPr>
        <w:t>。</w:t>
      </w:r>
      <w:r>
        <w:rPr>
          <w:rFonts w:hint="eastAsia" w:ascii="宋体" w:hAnsi="宋体" w:cs="仿宋_GB2312"/>
          <w:snapToGrid w:val="0"/>
          <w:color w:val="auto"/>
          <w:kern w:val="0"/>
          <w:sz w:val="24"/>
          <w:highlight w:val="none"/>
          <w:lang w:val="zh-CN" w:eastAsia="zh-CN"/>
        </w:rPr>
        <w:t>本项目</w:t>
      </w:r>
      <w:r>
        <w:rPr>
          <w:rFonts w:hint="default" w:ascii="宋体" w:hAnsi="宋体" w:eastAsia="宋体" w:cs="仿宋_GB2312"/>
          <w:snapToGrid w:val="0"/>
          <w:color w:val="auto"/>
          <w:kern w:val="0"/>
          <w:sz w:val="24"/>
          <w:highlight w:val="none"/>
          <w:lang w:val="en-US" w:eastAsia="zh-CN"/>
        </w:rPr>
        <w:t>10#-12#半敞开式酒库、酒库辅助楼、消防动力中心及冷却水循环站、消防水池等。具体详施工设计图</w:t>
      </w:r>
    </w:p>
    <w:p w14:paraId="766B4290">
      <w:pPr>
        <w:spacing w:line="240" w:lineRule="auto"/>
        <w:outlineLvl w:val="2"/>
        <w:rPr>
          <w:rFonts w:hint="eastAsia" w:asciiTheme="minorEastAsia" w:hAnsiTheme="minorEastAsia" w:eastAsiaTheme="minorEastAsia" w:cstheme="minorEastAsia"/>
          <w:sz w:val="24"/>
          <w:szCs w:val="24"/>
          <w:highlight w:val="none"/>
        </w:rPr>
      </w:pPr>
      <w:bookmarkStart w:id="4" w:name="_Toc30116"/>
      <w:r>
        <w:rPr>
          <w:rFonts w:hint="eastAsia" w:asciiTheme="minorEastAsia" w:hAnsiTheme="minorEastAsia" w:eastAsiaTheme="minorEastAsia" w:cstheme="minorEastAsia"/>
          <w:sz w:val="24"/>
          <w:szCs w:val="24"/>
          <w:highlight w:val="none"/>
          <w:lang w:val="en-US" w:eastAsia="zh-CN"/>
        </w:rPr>
        <w:t>2.4.1、</w:t>
      </w:r>
      <w:r>
        <w:rPr>
          <w:rFonts w:hint="eastAsia" w:asciiTheme="minorEastAsia" w:hAnsiTheme="minorEastAsia" w:eastAsiaTheme="minorEastAsia" w:cstheme="minorEastAsia"/>
          <w:sz w:val="24"/>
          <w:szCs w:val="24"/>
          <w:highlight w:val="none"/>
        </w:rPr>
        <w:t>各建筑名称、结构形式、建筑面积见下表：</w:t>
      </w:r>
      <w:bookmarkEnd w:id="4"/>
    </w:p>
    <w:tbl>
      <w:tblPr>
        <w:tblStyle w:val="8"/>
        <w:tblW w:w="5059" w:type="pct"/>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3"/>
        <w:gridCol w:w="2019"/>
        <w:gridCol w:w="1065"/>
        <w:gridCol w:w="1676"/>
        <w:gridCol w:w="1368"/>
        <w:gridCol w:w="1610"/>
      </w:tblGrid>
      <w:tr w14:paraId="5A71A31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jc w:val="center"/>
        </w:trPr>
        <w:tc>
          <w:tcPr>
            <w:tcW w:w="422" w:type="pct"/>
            <w:noWrap w:val="0"/>
            <w:tcMar>
              <w:top w:w="15" w:type="dxa"/>
              <w:left w:w="15" w:type="dxa"/>
              <w:bottom w:w="0" w:type="dxa"/>
              <w:right w:w="15" w:type="dxa"/>
            </w:tcMar>
            <w:vAlign w:val="center"/>
          </w:tcPr>
          <w:p w14:paraId="2097181D">
            <w:pPr>
              <w:spacing w:line="360" w:lineRule="auto"/>
              <w:ind w:firstLine="0" w:firstLineChars="0"/>
              <w:jc w:val="center"/>
              <w:rPr>
                <w:rFonts w:hint="eastAsia" w:ascii="仿宋" w:hAnsi="仿宋" w:eastAsia="仿宋" w:cs="仿宋"/>
                <w:color w:val="auto"/>
                <w:sz w:val="21"/>
                <w:szCs w:val="21"/>
                <w:lang w:eastAsia="zh-CN"/>
              </w:rPr>
            </w:pPr>
            <w:bookmarkStart w:id="5" w:name="_Toc3912"/>
            <w:r>
              <w:rPr>
                <w:rFonts w:hint="eastAsia" w:ascii="仿宋" w:hAnsi="仿宋" w:eastAsia="仿宋" w:cs="仿宋"/>
                <w:color w:val="auto"/>
                <w:sz w:val="21"/>
                <w:szCs w:val="21"/>
                <w:lang w:val="en-US" w:eastAsia="zh-CN"/>
              </w:rPr>
              <w:t>序号</w:t>
            </w:r>
          </w:p>
        </w:tc>
        <w:tc>
          <w:tcPr>
            <w:tcW w:w="1194" w:type="pct"/>
            <w:noWrap w:val="0"/>
            <w:tcMar>
              <w:top w:w="15" w:type="dxa"/>
              <w:left w:w="15" w:type="dxa"/>
              <w:bottom w:w="0" w:type="dxa"/>
              <w:right w:w="15" w:type="dxa"/>
            </w:tcMar>
            <w:vAlign w:val="center"/>
          </w:tcPr>
          <w:p w14:paraId="4F9E3115">
            <w:pPr>
              <w:spacing w:line="360" w:lineRule="auto"/>
              <w:ind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建筑物名称</w:t>
            </w:r>
          </w:p>
        </w:tc>
        <w:tc>
          <w:tcPr>
            <w:tcW w:w="630" w:type="pct"/>
            <w:noWrap w:val="0"/>
            <w:tcMar>
              <w:top w:w="15" w:type="dxa"/>
              <w:left w:w="15" w:type="dxa"/>
              <w:bottom w:w="0" w:type="dxa"/>
              <w:right w:w="15" w:type="dxa"/>
            </w:tcMar>
            <w:vAlign w:val="center"/>
          </w:tcPr>
          <w:p w14:paraId="2D0CA871">
            <w:pPr>
              <w:spacing w:line="360" w:lineRule="auto"/>
              <w:ind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高度(m)</w:t>
            </w:r>
          </w:p>
        </w:tc>
        <w:tc>
          <w:tcPr>
            <w:tcW w:w="991" w:type="pct"/>
            <w:noWrap w:val="0"/>
            <w:tcMar>
              <w:top w:w="15" w:type="dxa"/>
              <w:left w:w="15" w:type="dxa"/>
              <w:bottom w:w="0" w:type="dxa"/>
              <w:right w:w="15" w:type="dxa"/>
            </w:tcMar>
            <w:vAlign w:val="center"/>
          </w:tcPr>
          <w:p w14:paraId="32E07002">
            <w:pPr>
              <w:spacing w:line="360" w:lineRule="auto"/>
              <w:ind w:firstLine="0" w:firstLineChars="0"/>
              <w:jc w:val="center"/>
              <w:rPr>
                <w:rFonts w:hint="default" w:ascii="仿宋" w:hAnsi="仿宋" w:eastAsia="仿宋" w:cs="仿宋"/>
                <w:color w:val="auto"/>
                <w:sz w:val="21"/>
                <w:szCs w:val="21"/>
                <w:lang w:val="en-US"/>
              </w:rPr>
            </w:pPr>
            <w:r>
              <w:rPr>
                <w:rFonts w:hint="eastAsia" w:ascii="仿宋" w:hAnsi="仿宋" w:eastAsia="仿宋" w:cs="仿宋"/>
                <w:color w:val="auto"/>
                <w:sz w:val="21"/>
                <w:szCs w:val="21"/>
              </w:rPr>
              <w:t>基础形式</w:t>
            </w:r>
          </w:p>
        </w:tc>
        <w:tc>
          <w:tcPr>
            <w:tcW w:w="809" w:type="pct"/>
            <w:noWrap w:val="0"/>
            <w:tcMar>
              <w:top w:w="15" w:type="dxa"/>
              <w:left w:w="15" w:type="dxa"/>
              <w:bottom w:w="0" w:type="dxa"/>
              <w:right w:w="15" w:type="dxa"/>
            </w:tcMar>
            <w:vAlign w:val="center"/>
          </w:tcPr>
          <w:p w14:paraId="00B6CF5A">
            <w:pPr>
              <w:spacing w:line="360" w:lineRule="auto"/>
              <w:ind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结构类型</w:t>
            </w:r>
          </w:p>
        </w:tc>
        <w:tc>
          <w:tcPr>
            <w:tcW w:w="952" w:type="pct"/>
            <w:noWrap w:val="0"/>
            <w:tcMar>
              <w:top w:w="15" w:type="dxa"/>
              <w:left w:w="15" w:type="dxa"/>
              <w:bottom w:w="0" w:type="dxa"/>
              <w:right w:w="15" w:type="dxa"/>
            </w:tcMar>
            <w:vAlign w:val="center"/>
          </w:tcPr>
          <w:p w14:paraId="46E8CA15">
            <w:pPr>
              <w:spacing w:line="360" w:lineRule="auto"/>
              <w:ind w:firstLine="0" w:firstLine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建筑面积(m</w:t>
            </w:r>
            <w:r>
              <w:rPr>
                <w:rFonts w:hint="eastAsia" w:ascii="仿宋" w:hAnsi="仿宋" w:eastAsia="仿宋" w:cs="仿宋"/>
                <w:color w:val="auto"/>
                <w:sz w:val="21"/>
                <w:szCs w:val="21"/>
                <w:vertAlign w:val="superscript"/>
                <w:lang w:val="en-US" w:eastAsia="zh-CN"/>
              </w:rPr>
              <w:t>2</w:t>
            </w:r>
            <w:r>
              <w:rPr>
                <w:rFonts w:hint="eastAsia" w:ascii="仿宋" w:hAnsi="仿宋" w:eastAsia="仿宋" w:cs="仿宋"/>
                <w:color w:val="auto"/>
                <w:sz w:val="21"/>
                <w:szCs w:val="21"/>
                <w:lang w:val="en-US" w:eastAsia="zh-CN"/>
              </w:rPr>
              <w:t>)</w:t>
            </w:r>
          </w:p>
        </w:tc>
      </w:tr>
      <w:tr w14:paraId="5C62CFA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jc w:val="center"/>
        </w:trPr>
        <w:tc>
          <w:tcPr>
            <w:tcW w:w="422" w:type="pct"/>
            <w:shd w:val="clear" w:color="auto" w:fill="auto"/>
            <w:noWrap w:val="0"/>
            <w:tcMar>
              <w:top w:w="15" w:type="dxa"/>
              <w:left w:w="15" w:type="dxa"/>
              <w:bottom w:w="0" w:type="dxa"/>
              <w:right w:w="15" w:type="dxa"/>
            </w:tcMar>
            <w:vAlign w:val="center"/>
          </w:tcPr>
          <w:p w14:paraId="50A6D6D3">
            <w:pPr>
              <w:spacing w:line="360" w:lineRule="auto"/>
              <w:ind w:firstLine="0"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1194" w:type="pct"/>
            <w:shd w:val="clear" w:color="auto" w:fill="auto"/>
            <w:noWrap w:val="0"/>
            <w:tcMar>
              <w:top w:w="15" w:type="dxa"/>
              <w:left w:w="15" w:type="dxa"/>
              <w:bottom w:w="0" w:type="dxa"/>
              <w:right w:w="15" w:type="dxa"/>
            </w:tcMar>
            <w:vAlign w:val="center"/>
          </w:tcPr>
          <w:p w14:paraId="44FEF289">
            <w:pPr>
              <w:spacing w:line="360" w:lineRule="auto"/>
              <w:ind w:firstLine="0"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10#半敞开式酒库</w:t>
            </w:r>
          </w:p>
        </w:tc>
        <w:tc>
          <w:tcPr>
            <w:tcW w:w="630" w:type="pct"/>
            <w:shd w:val="clear" w:color="auto" w:fill="auto"/>
            <w:noWrap w:val="0"/>
            <w:tcMar>
              <w:top w:w="15" w:type="dxa"/>
              <w:left w:w="15" w:type="dxa"/>
              <w:bottom w:w="0" w:type="dxa"/>
              <w:right w:w="15" w:type="dxa"/>
            </w:tcMar>
            <w:vAlign w:val="center"/>
          </w:tcPr>
          <w:p w14:paraId="22A0F5C6">
            <w:pPr>
              <w:spacing w:line="360" w:lineRule="auto"/>
              <w:ind w:firstLine="0"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20.78</w:t>
            </w:r>
          </w:p>
        </w:tc>
        <w:tc>
          <w:tcPr>
            <w:tcW w:w="991" w:type="pct"/>
            <w:shd w:val="clear" w:color="auto" w:fill="auto"/>
            <w:noWrap w:val="0"/>
            <w:tcMar>
              <w:top w:w="15" w:type="dxa"/>
              <w:left w:w="15" w:type="dxa"/>
              <w:bottom w:w="0" w:type="dxa"/>
              <w:right w:w="15" w:type="dxa"/>
            </w:tcMar>
            <w:vAlign w:val="center"/>
          </w:tcPr>
          <w:p w14:paraId="6CD54CE7">
            <w:pPr>
              <w:spacing w:line="360" w:lineRule="auto"/>
              <w:ind w:firstLine="0" w:firstLine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灌注桩+承台</w:t>
            </w:r>
          </w:p>
        </w:tc>
        <w:tc>
          <w:tcPr>
            <w:tcW w:w="809" w:type="pct"/>
            <w:shd w:val="clear" w:color="auto" w:fill="auto"/>
            <w:noWrap w:val="0"/>
            <w:tcMar>
              <w:top w:w="15" w:type="dxa"/>
              <w:left w:w="15" w:type="dxa"/>
              <w:bottom w:w="0" w:type="dxa"/>
              <w:right w:w="15" w:type="dxa"/>
            </w:tcMar>
            <w:vAlign w:val="center"/>
          </w:tcPr>
          <w:p w14:paraId="615275B6">
            <w:pPr>
              <w:spacing w:line="360" w:lineRule="auto"/>
              <w:ind w:firstLine="0" w:firstLineChars="0"/>
              <w:jc w:val="center"/>
              <w:rPr>
                <w:rFonts w:hint="eastAsia" w:ascii="仿宋" w:hAnsi="仿宋" w:eastAsia="仿宋" w:cs="仿宋"/>
                <w:color w:val="auto"/>
                <w:sz w:val="21"/>
                <w:szCs w:val="21"/>
                <w:lang w:val="en-US" w:eastAsia="zh-CN"/>
              </w:rPr>
            </w:pPr>
            <w:r>
              <w:rPr>
                <w:rFonts w:hint="eastAsia" w:ascii="仿宋" w:hAnsi="仿宋" w:eastAsia="仿宋" w:cs="仿宋"/>
                <w:b w:val="0"/>
                <w:bCs/>
                <w:color w:val="auto"/>
                <w:sz w:val="21"/>
                <w:szCs w:val="21"/>
                <w:lang w:val="en-US" w:eastAsia="zh-CN"/>
              </w:rPr>
              <w:t>框排架结构</w:t>
            </w:r>
          </w:p>
        </w:tc>
        <w:tc>
          <w:tcPr>
            <w:tcW w:w="952" w:type="pct"/>
            <w:shd w:val="clear" w:color="auto" w:fill="auto"/>
            <w:noWrap w:val="0"/>
            <w:tcMar>
              <w:top w:w="15" w:type="dxa"/>
              <w:left w:w="15" w:type="dxa"/>
              <w:bottom w:w="0" w:type="dxa"/>
              <w:right w:w="15" w:type="dxa"/>
            </w:tcMar>
            <w:vAlign w:val="center"/>
          </w:tcPr>
          <w:p w14:paraId="1AACCDBC">
            <w:pPr>
              <w:spacing w:line="360" w:lineRule="auto"/>
              <w:ind w:firstLine="0"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1938.0</w:t>
            </w:r>
          </w:p>
        </w:tc>
      </w:tr>
      <w:tr w14:paraId="4B99D3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jc w:val="center"/>
        </w:trPr>
        <w:tc>
          <w:tcPr>
            <w:tcW w:w="422" w:type="pct"/>
            <w:shd w:val="clear" w:color="auto" w:fill="auto"/>
            <w:noWrap w:val="0"/>
            <w:tcMar>
              <w:top w:w="15" w:type="dxa"/>
              <w:left w:w="15" w:type="dxa"/>
              <w:bottom w:w="0" w:type="dxa"/>
              <w:right w:w="15" w:type="dxa"/>
            </w:tcMar>
            <w:vAlign w:val="center"/>
          </w:tcPr>
          <w:p w14:paraId="37F175B1">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194" w:type="pct"/>
            <w:shd w:val="clear" w:color="auto" w:fill="auto"/>
            <w:noWrap w:val="0"/>
            <w:tcMar>
              <w:top w:w="15" w:type="dxa"/>
              <w:left w:w="15" w:type="dxa"/>
              <w:bottom w:w="0" w:type="dxa"/>
              <w:right w:w="15" w:type="dxa"/>
            </w:tcMar>
            <w:vAlign w:val="center"/>
          </w:tcPr>
          <w:p w14:paraId="2010410B">
            <w:pPr>
              <w:spacing w:line="360" w:lineRule="auto"/>
              <w:ind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11#半敞开式酒库</w:t>
            </w:r>
          </w:p>
        </w:tc>
        <w:tc>
          <w:tcPr>
            <w:tcW w:w="630" w:type="pct"/>
            <w:shd w:val="clear" w:color="auto" w:fill="auto"/>
            <w:noWrap w:val="0"/>
            <w:tcMar>
              <w:top w:w="15" w:type="dxa"/>
              <w:left w:w="15" w:type="dxa"/>
              <w:bottom w:w="0" w:type="dxa"/>
              <w:right w:w="15" w:type="dxa"/>
            </w:tcMar>
            <w:vAlign w:val="center"/>
          </w:tcPr>
          <w:p w14:paraId="631C73F5">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21.00</w:t>
            </w:r>
          </w:p>
        </w:tc>
        <w:tc>
          <w:tcPr>
            <w:tcW w:w="991" w:type="pct"/>
            <w:shd w:val="clear" w:color="auto" w:fill="auto"/>
            <w:noWrap w:val="0"/>
            <w:tcMar>
              <w:top w:w="15" w:type="dxa"/>
              <w:left w:w="15" w:type="dxa"/>
              <w:bottom w:w="0" w:type="dxa"/>
              <w:right w:w="15" w:type="dxa"/>
            </w:tcMar>
            <w:vAlign w:val="center"/>
          </w:tcPr>
          <w:p w14:paraId="3143EE43">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灌注桩+承台</w:t>
            </w:r>
          </w:p>
        </w:tc>
        <w:tc>
          <w:tcPr>
            <w:tcW w:w="809" w:type="pct"/>
            <w:shd w:val="clear" w:color="auto" w:fill="auto"/>
            <w:noWrap w:val="0"/>
            <w:tcMar>
              <w:top w:w="15" w:type="dxa"/>
              <w:left w:w="15" w:type="dxa"/>
              <w:bottom w:w="0" w:type="dxa"/>
              <w:right w:w="15" w:type="dxa"/>
            </w:tcMar>
            <w:vAlign w:val="center"/>
          </w:tcPr>
          <w:p w14:paraId="5142B123">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框排架结构</w:t>
            </w:r>
          </w:p>
        </w:tc>
        <w:tc>
          <w:tcPr>
            <w:tcW w:w="952" w:type="pct"/>
            <w:shd w:val="clear" w:color="auto" w:fill="auto"/>
            <w:noWrap w:val="0"/>
            <w:tcMar>
              <w:top w:w="15" w:type="dxa"/>
              <w:left w:w="15" w:type="dxa"/>
              <w:bottom w:w="0" w:type="dxa"/>
              <w:right w:w="15" w:type="dxa"/>
            </w:tcMar>
            <w:vAlign w:val="center"/>
          </w:tcPr>
          <w:p w14:paraId="3166C30E">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3672.0</w:t>
            </w:r>
          </w:p>
        </w:tc>
      </w:tr>
      <w:tr w14:paraId="5AF7A3F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jc w:val="center"/>
        </w:trPr>
        <w:tc>
          <w:tcPr>
            <w:tcW w:w="422" w:type="pct"/>
            <w:shd w:val="clear" w:color="auto" w:fill="auto"/>
            <w:noWrap w:val="0"/>
            <w:tcMar>
              <w:top w:w="15" w:type="dxa"/>
              <w:left w:w="15" w:type="dxa"/>
              <w:bottom w:w="0" w:type="dxa"/>
              <w:right w:w="15" w:type="dxa"/>
            </w:tcMar>
            <w:vAlign w:val="center"/>
          </w:tcPr>
          <w:p w14:paraId="6A2DE2C0">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194" w:type="pct"/>
            <w:shd w:val="clear" w:color="auto" w:fill="auto"/>
            <w:noWrap w:val="0"/>
            <w:tcMar>
              <w:top w:w="15" w:type="dxa"/>
              <w:left w:w="15" w:type="dxa"/>
              <w:bottom w:w="0" w:type="dxa"/>
              <w:right w:w="15" w:type="dxa"/>
            </w:tcMar>
            <w:vAlign w:val="center"/>
          </w:tcPr>
          <w:p w14:paraId="76117AEB">
            <w:pPr>
              <w:spacing w:line="360" w:lineRule="auto"/>
              <w:ind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12#半敞开式酒库</w:t>
            </w:r>
          </w:p>
        </w:tc>
        <w:tc>
          <w:tcPr>
            <w:tcW w:w="630" w:type="pct"/>
            <w:shd w:val="clear" w:color="auto" w:fill="auto"/>
            <w:noWrap w:val="0"/>
            <w:tcMar>
              <w:top w:w="15" w:type="dxa"/>
              <w:left w:w="15" w:type="dxa"/>
              <w:bottom w:w="0" w:type="dxa"/>
              <w:right w:w="15" w:type="dxa"/>
            </w:tcMar>
            <w:vAlign w:val="center"/>
          </w:tcPr>
          <w:p w14:paraId="544E9BB0">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21.00</w:t>
            </w:r>
          </w:p>
        </w:tc>
        <w:tc>
          <w:tcPr>
            <w:tcW w:w="991" w:type="pct"/>
            <w:shd w:val="clear" w:color="auto" w:fill="auto"/>
            <w:noWrap w:val="0"/>
            <w:tcMar>
              <w:top w:w="15" w:type="dxa"/>
              <w:left w:w="15" w:type="dxa"/>
              <w:bottom w:w="0" w:type="dxa"/>
              <w:right w:w="15" w:type="dxa"/>
            </w:tcMar>
            <w:vAlign w:val="center"/>
          </w:tcPr>
          <w:p w14:paraId="6381575C">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灌注桩+承台</w:t>
            </w:r>
          </w:p>
        </w:tc>
        <w:tc>
          <w:tcPr>
            <w:tcW w:w="809" w:type="pct"/>
            <w:shd w:val="clear" w:color="auto" w:fill="auto"/>
            <w:noWrap w:val="0"/>
            <w:tcMar>
              <w:top w:w="15" w:type="dxa"/>
              <w:left w:w="15" w:type="dxa"/>
              <w:bottom w:w="0" w:type="dxa"/>
              <w:right w:w="15" w:type="dxa"/>
            </w:tcMar>
            <w:vAlign w:val="center"/>
          </w:tcPr>
          <w:p w14:paraId="7ECB7546">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框排架结构</w:t>
            </w:r>
          </w:p>
        </w:tc>
        <w:tc>
          <w:tcPr>
            <w:tcW w:w="952" w:type="pct"/>
            <w:shd w:val="clear" w:color="auto" w:fill="auto"/>
            <w:noWrap w:val="0"/>
            <w:tcMar>
              <w:top w:w="15" w:type="dxa"/>
              <w:left w:w="15" w:type="dxa"/>
              <w:bottom w:w="0" w:type="dxa"/>
              <w:right w:w="15" w:type="dxa"/>
            </w:tcMar>
            <w:vAlign w:val="center"/>
          </w:tcPr>
          <w:p w14:paraId="099741B4">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3672.0</w:t>
            </w:r>
          </w:p>
        </w:tc>
      </w:tr>
      <w:tr w14:paraId="10D5415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jc w:val="center"/>
        </w:trPr>
        <w:tc>
          <w:tcPr>
            <w:tcW w:w="422" w:type="pct"/>
            <w:shd w:val="clear" w:color="auto" w:fill="auto"/>
            <w:noWrap w:val="0"/>
            <w:tcMar>
              <w:top w:w="15" w:type="dxa"/>
              <w:left w:w="15" w:type="dxa"/>
              <w:bottom w:w="0" w:type="dxa"/>
              <w:right w:w="15" w:type="dxa"/>
            </w:tcMar>
            <w:vAlign w:val="center"/>
          </w:tcPr>
          <w:p w14:paraId="40DF7A65">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1194" w:type="pct"/>
            <w:shd w:val="clear" w:color="auto" w:fill="auto"/>
            <w:noWrap w:val="0"/>
            <w:tcMar>
              <w:top w:w="15" w:type="dxa"/>
              <w:left w:w="15" w:type="dxa"/>
              <w:bottom w:w="0" w:type="dxa"/>
              <w:right w:w="15" w:type="dxa"/>
            </w:tcMar>
            <w:vAlign w:val="center"/>
          </w:tcPr>
          <w:p w14:paraId="2B6831ED">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酒库辅助楼</w:t>
            </w:r>
          </w:p>
        </w:tc>
        <w:tc>
          <w:tcPr>
            <w:tcW w:w="630" w:type="pct"/>
            <w:shd w:val="clear" w:color="auto" w:fill="auto"/>
            <w:noWrap w:val="0"/>
            <w:tcMar>
              <w:top w:w="15" w:type="dxa"/>
              <w:left w:w="15" w:type="dxa"/>
              <w:bottom w:w="0" w:type="dxa"/>
              <w:right w:w="15" w:type="dxa"/>
            </w:tcMar>
            <w:vAlign w:val="center"/>
          </w:tcPr>
          <w:p w14:paraId="15D95F0F">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9.30</w:t>
            </w:r>
          </w:p>
        </w:tc>
        <w:tc>
          <w:tcPr>
            <w:tcW w:w="991" w:type="pct"/>
            <w:shd w:val="clear" w:color="auto" w:fill="auto"/>
            <w:noWrap w:val="0"/>
            <w:tcMar>
              <w:top w:w="15" w:type="dxa"/>
              <w:left w:w="15" w:type="dxa"/>
              <w:bottom w:w="0" w:type="dxa"/>
              <w:right w:w="15" w:type="dxa"/>
            </w:tcMar>
            <w:vAlign w:val="center"/>
          </w:tcPr>
          <w:p w14:paraId="228F614C">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独立基础</w:t>
            </w:r>
          </w:p>
        </w:tc>
        <w:tc>
          <w:tcPr>
            <w:tcW w:w="809" w:type="pct"/>
            <w:shd w:val="clear" w:color="auto" w:fill="auto"/>
            <w:noWrap w:val="0"/>
            <w:tcMar>
              <w:top w:w="15" w:type="dxa"/>
              <w:left w:w="15" w:type="dxa"/>
              <w:bottom w:w="0" w:type="dxa"/>
              <w:right w:w="15" w:type="dxa"/>
            </w:tcMar>
            <w:vAlign w:val="center"/>
          </w:tcPr>
          <w:p w14:paraId="67687690">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框架结构</w:t>
            </w:r>
          </w:p>
        </w:tc>
        <w:tc>
          <w:tcPr>
            <w:tcW w:w="952" w:type="pct"/>
            <w:shd w:val="clear" w:color="auto" w:fill="auto"/>
            <w:noWrap w:val="0"/>
            <w:tcMar>
              <w:top w:w="15" w:type="dxa"/>
              <w:left w:w="15" w:type="dxa"/>
              <w:bottom w:w="0" w:type="dxa"/>
              <w:right w:w="15" w:type="dxa"/>
            </w:tcMar>
            <w:vAlign w:val="center"/>
          </w:tcPr>
          <w:p w14:paraId="2032B9C9">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994.54</w:t>
            </w:r>
          </w:p>
        </w:tc>
      </w:tr>
      <w:tr w14:paraId="03805C7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jc w:val="center"/>
        </w:trPr>
        <w:tc>
          <w:tcPr>
            <w:tcW w:w="422" w:type="pct"/>
            <w:shd w:val="clear" w:color="auto" w:fill="auto"/>
            <w:noWrap w:val="0"/>
            <w:tcMar>
              <w:top w:w="15" w:type="dxa"/>
              <w:left w:w="15" w:type="dxa"/>
              <w:bottom w:w="0" w:type="dxa"/>
              <w:right w:w="15" w:type="dxa"/>
            </w:tcMar>
            <w:vAlign w:val="center"/>
          </w:tcPr>
          <w:p w14:paraId="308E0B88">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1194" w:type="pct"/>
            <w:shd w:val="clear" w:color="auto" w:fill="auto"/>
            <w:noWrap w:val="0"/>
            <w:tcMar>
              <w:top w:w="15" w:type="dxa"/>
              <w:left w:w="15" w:type="dxa"/>
              <w:bottom w:w="0" w:type="dxa"/>
              <w:right w:w="15" w:type="dxa"/>
            </w:tcMar>
            <w:vAlign w:val="center"/>
          </w:tcPr>
          <w:p w14:paraId="760AF5D0">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消防动力中心及冷却水循环站</w:t>
            </w:r>
          </w:p>
        </w:tc>
        <w:tc>
          <w:tcPr>
            <w:tcW w:w="630" w:type="pct"/>
            <w:shd w:val="clear" w:color="auto" w:fill="auto"/>
            <w:noWrap w:val="0"/>
            <w:tcMar>
              <w:top w:w="15" w:type="dxa"/>
              <w:left w:w="15" w:type="dxa"/>
              <w:bottom w:w="0" w:type="dxa"/>
              <w:right w:w="15" w:type="dxa"/>
            </w:tcMar>
            <w:vAlign w:val="center"/>
          </w:tcPr>
          <w:p w14:paraId="3A8C208A">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7.55/-5.5</w:t>
            </w:r>
          </w:p>
        </w:tc>
        <w:tc>
          <w:tcPr>
            <w:tcW w:w="991" w:type="pct"/>
            <w:shd w:val="clear" w:color="auto" w:fill="auto"/>
            <w:noWrap w:val="0"/>
            <w:tcMar>
              <w:top w:w="15" w:type="dxa"/>
              <w:left w:w="15" w:type="dxa"/>
              <w:bottom w:w="0" w:type="dxa"/>
              <w:right w:w="15" w:type="dxa"/>
            </w:tcMar>
            <w:vAlign w:val="center"/>
          </w:tcPr>
          <w:p w14:paraId="0EC9D3E6">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独立基础</w:t>
            </w:r>
          </w:p>
        </w:tc>
        <w:tc>
          <w:tcPr>
            <w:tcW w:w="809" w:type="pct"/>
            <w:shd w:val="clear" w:color="auto" w:fill="auto"/>
            <w:noWrap w:val="0"/>
            <w:tcMar>
              <w:top w:w="15" w:type="dxa"/>
              <w:left w:w="15" w:type="dxa"/>
              <w:bottom w:w="0" w:type="dxa"/>
              <w:right w:w="15" w:type="dxa"/>
            </w:tcMar>
            <w:vAlign w:val="center"/>
          </w:tcPr>
          <w:p w14:paraId="05F08071">
            <w:pPr>
              <w:spacing w:line="360" w:lineRule="auto"/>
              <w:ind w:firstLine="0" w:firstLineChars="0"/>
              <w:jc w:val="center"/>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框架结构</w:t>
            </w:r>
          </w:p>
        </w:tc>
        <w:tc>
          <w:tcPr>
            <w:tcW w:w="952" w:type="pct"/>
            <w:shd w:val="clear" w:color="auto" w:fill="auto"/>
            <w:noWrap w:val="0"/>
            <w:tcMar>
              <w:top w:w="15" w:type="dxa"/>
              <w:left w:w="15" w:type="dxa"/>
              <w:bottom w:w="0" w:type="dxa"/>
              <w:right w:w="15" w:type="dxa"/>
            </w:tcMar>
            <w:vAlign w:val="center"/>
          </w:tcPr>
          <w:p w14:paraId="4DE4051F">
            <w:pPr>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1752</w:t>
            </w:r>
          </w:p>
        </w:tc>
      </w:tr>
      <w:tr w14:paraId="78C940E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jc w:val="center"/>
        </w:trPr>
        <w:tc>
          <w:tcPr>
            <w:tcW w:w="422" w:type="pct"/>
            <w:shd w:val="clear" w:color="auto" w:fill="auto"/>
            <w:noWrap w:val="0"/>
            <w:tcMar>
              <w:top w:w="15" w:type="dxa"/>
              <w:left w:w="15" w:type="dxa"/>
              <w:bottom w:w="0" w:type="dxa"/>
              <w:right w:w="15" w:type="dxa"/>
            </w:tcMar>
            <w:vAlign w:val="center"/>
          </w:tcPr>
          <w:p w14:paraId="28F728B8">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1194" w:type="pct"/>
            <w:shd w:val="clear" w:color="auto" w:fill="auto"/>
            <w:noWrap w:val="0"/>
            <w:tcMar>
              <w:top w:w="15" w:type="dxa"/>
              <w:left w:w="15" w:type="dxa"/>
              <w:bottom w:w="0" w:type="dxa"/>
              <w:right w:w="15" w:type="dxa"/>
            </w:tcMar>
            <w:vAlign w:val="center"/>
          </w:tcPr>
          <w:p w14:paraId="099E225F">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消防水池</w:t>
            </w:r>
          </w:p>
        </w:tc>
        <w:tc>
          <w:tcPr>
            <w:tcW w:w="630" w:type="pct"/>
            <w:shd w:val="clear" w:color="auto" w:fill="auto"/>
            <w:noWrap w:val="0"/>
            <w:tcMar>
              <w:top w:w="15" w:type="dxa"/>
              <w:left w:w="15" w:type="dxa"/>
              <w:bottom w:w="0" w:type="dxa"/>
              <w:right w:w="15" w:type="dxa"/>
            </w:tcMar>
            <w:vAlign w:val="center"/>
          </w:tcPr>
          <w:p w14:paraId="6DBB95CC">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991" w:type="pct"/>
            <w:shd w:val="clear" w:color="auto" w:fill="auto"/>
            <w:noWrap w:val="0"/>
            <w:tcMar>
              <w:top w:w="15" w:type="dxa"/>
              <w:left w:w="15" w:type="dxa"/>
              <w:bottom w:w="0" w:type="dxa"/>
              <w:right w:w="15" w:type="dxa"/>
            </w:tcMar>
            <w:vAlign w:val="center"/>
          </w:tcPr>
          <w:p w14:paraId="76F20523">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809" w:type="pct"/>
            <w:shd w:val="clear" w:color="auto" w:fill="auto"/>
            <w:noWrap w:val="0"/>
            <w:tcMar>
              <w:top w:w="15" w:type="dxa"/>
              <w:left w:w="15" w:type="dxa"/>
              <w:bottom w:w="0" w:type="dxa"/>
              <w:right w:w="15" w:type="dxa"/>
            </w:tcMar>
            <w:vAlign w:val="center"/>
          </w:tcPr>
          <w:p w14:paraId="29ADFCCA">
            <w:pPr>
              <w:spacing w:line="360" w:lineRule="auto"/>
              <w:ind w:firstLine="0" w:firstLineChars="0"/>
              <w:jc w:val="center"/>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w:t>
            </w:r>
          </w:p>
        </w:tc>
        <w:tc>
          <w:tcPr>
            <w:tcW w:w="952" w:type="pct"/>
            <w:shd w:val="clear" w:color="auto" w:fill="auto"/>
            <w:noWrap w:val="0"/>
            <w:tcMar>
              <w:top w:w="15" w:type="dxa"/>
              <w:left w:w="15" w:type="dxa"/>
              <w:bottom w:w="0" w:type="dxa"/>
              <w:right w:w="15" w:type="dxa"/>
            </w:tcMar>
            <w:vAlign w:val="center"/>
          </w:tcPr>
          <w:p w14:paraId="64D2C479">
            <w:pPr>
              <w:spacing w:line="360" w:lineRule="auto"/>
              <w:ind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r>
    </w:tbl>
    <w:p w14:paraId="5B75521E">
      <w:pPr>
        <w:spacing w:line="240" w:lineRule="auto"/>
        <w:ind w:left="0" w:leftChars="0" w:firstLine="0" w:firstLineChars="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4"/>
          <w:szCs w:val="24"/>
          <w:highlight w:val="none"/>
        </w:rPr>
        <w:t>以上建筑面积仅做参考，最终建筑面积以设计为准。</w:t>
      </w:r>
    </w:p>
    <w:p w14:paraId="7056AEB9">
      <w:pPr>
        <w:pStyle w:val="3"/>
        <w:spacing w:line="360" w:lineRule="auto"/>
        <w:outlineLvl w:val="2"/>
        <w:rPr>
          <w:rFonts w:hint="eastAsia" w:ascii="宋体" w:hAnsi="宋体" w:eastAsia="宋体" w:cs="仿宋_GB2312"/>
          <w:snapToGrid w:val="0"/>
          <w:color w:val="auto"/>
          <w:kern w:val="0"/>
          <w:sz w:val="24"/>
          <w:szCs w:val="24"/>
          <w:highlight w:val="none"/>
          <w:lang w:val="en-US" w:eastAsia="zh-CN" w:bidi="ar-SA"/>
        </w:rPr>
      </w:pPr>
      <w:r>
        <w:rPr>
          <w:rFonts w:hint="eastAsia" w:ascii="宋体" w:hAnsi="宋体" w:eastAsia="宋体" w:cs="仿宋_GB2312"/>
          <w:snapToGrid w:val="0"/>
          <w:color w:val="auto"/>
          <w:kern w:val="0"/>
          <w:sz w:val="24"/>
          <w:highlight w:val="none"/>
          <w:lang w:val="en-US" w:eastAsia="zh-CN"/>
        </w:rPr>
        <w:t>2.5</w:t>
      </w:r>
      <w:r>
        <w:rPr>
          <w:rFonts w:hint="eastAsia" w:ascii="宋体" w:hAnsi="宋体" w:eastAsia="宋体" w:cs="仿宋_GB2312"/>
          <w:snapToGrid w:val="0"/>
          <w:color w:val="auto"/>
          <w:kern w:val="0"/>
          <w:sz w:val="24"/>
          <w:szCs w:val="24"/>
          <w:highlight w:val="none"/>
          <w:lang w:val="en-US" w:eastAsia="zh-CN" w:bidi="ar-SA"/>
        </w:rPr>
        <w:t>施工范围</w:t>
      </w:r>
      <w:bookmarkEnd w:id="5"/>
    </w:p>
    <w:p w14:paraId="54281397">
      <w:pPr>
        <w:spacing w:line="360" w:lineRule="auto"/>
        <w:ind w:right="6" w:firstLine="480" w:firstLineChars="200"/>
        <w:jc w:val="left"/>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本次的招标对象为本项目的总包单位，总包单位的工作内容包括《</w:t>
      </w:r>
      <w:r>
        <w:rPr>
          <w:rFonts w:hint="eastAsia" w:ascii="宋体" w:hAnsi="宋体" w:cs="仿宋_GB2312"/>
          <w:snapToGrid w:val="0"/>
          <w:color w:val="auto"/>
          <w:kern w:val="0"/>
          <w:sz w:val="24"/>
          <w:highlight w:val="none"/>
          <w:lang w:eastAsia="zh-CN"/>
        </w:rPr>
        <w:t>舍得酒业黄沙及永和智能酿造区建设项目</w:t>
      </w:r>
      <w:r>
        <w:rPr>
          <w:rFonts w:hint="eastAsia" w:ascii="宋体" w:hAnsi="宋体" w:cs="仿宋_GB2312"/>
          <w:snapToGrid w:val="0"/>
          <w:color w:val="auto"/>
          <w:kern w:val="0"/>
          <w:sz w:val="24"/>
          <w:highlight w:val="none"/>
          <w:lang w:val="en-US" w:eastAsia="zh-CN"/>
        </w:rPr>
        <w:t>短沟湾储酒库（一期）</w:t>
      </w:r>
      <w:r>
        <w:rPr>
          <w:rFonts w:hint="eastAsia" w:ascii="宋体" w:hAnsi="宋体" w:cs="仿宋_GB2312"/>
          <w:snapToGrid w:val="0"/>
          <w:color w:val="auto"/>
          <w:kern w:val="0"/>
          <w:sz w:val="24"/>
          <w:highlight w:val="none"/>
          <w:lang w:eastAsia="zh-CN"/>
        </w:rPr>
        <w:t>施工总承包</w:t>
      </w:r>
      <w:r>
        <w:rPr>
          <w:rFonts w:hint="eastAsia" w:ascii="宋体" w:hAnsi="宋体" w:eastAsia="宋体" w:cs="仿宋_GB2312"/>
          <w:snapToGrid w:val="0"/>
          <w:color w:val="auto"/>
          <w:kern w:val="0"/>
          <w:sz w:val="24"/>
          <w:highlight w:val="none"/>
          <w:lang w:val="en-US" w:eastAsia="zh-CN"/>
        </w:rPr>
        <w:t>界面划分》约定属于总包职责及承建范围的全部施工图内容；具体以招标人提供的图纸、界面划分表、工程量清单、答疑资料、澄清资料、招标补遗资料、招标人深化设计等相关内容为准。</w:t>
      </w:r>
    </w:p>
    <w:p w14:paraId="15EE0F6F">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2.6质量标准：</w:t>
      </w:r>
    </w:p>
    <w:p w14:paraId="056CE5EF">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2.6.1工程质量应达到国家现行验收合格标准和设计文件要求，质量合格，并按四川省现行相关文件规定满足安全文明施工的相关要求。</w:t>
      </w:r>
    </w:p>
    <w:p w14:paraId="1A13FAA9">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2.6.2材料品质、规格必须满足施工图纸的要求且达到国家或地方相关质量技术规范、标准的要求及招标人要求。（工程所用的材料均应有合格证及检验报告）</w:t>
      </w:r>
    </w:p>
    <w:p w14:paraId="3C713E5D">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2.6.3施工必须按经批准的施工组织设计执行，符合施工规范及验收标准。</w:t>
      </w:r>
    </w:p>
    <w:p w14:paraId="6F0CE0A4">
      <w:pPr>
        <w:numPr>
          <w:ilvl w:val="0"/>
          <w:numId w:val="0"/>
        </w:numPr>
        <w:spacing w:line="360" w:lineRule="auto"/>
        <w:ind w:firstLine="480" w:firstLineChars="20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2.7 工期要求：计划工期</w:t>
      </w:r>
      <w:r>
        <w:rPr>
          <w:rFonts w:hint="eastAsia" w:ascii="宋体" w:hAnsi="宋体" w:cs="仿宋_GB2312"/>
          <w:snapToGrid w:val="0"/>
          <w:color w:val="auto"/>
          <w:kern w:val="0"/>
          <w:sz w:val="24"/>
          <w:highlight w:val="none"/>
          <w:lang w:val="en-US" w:eastAsia="zh-CN"/>
        </w:rPr>
        <w:t>600</w:t>
      </w:r>
      <w:r>
        <w:rPr>
          <w:rFonts w:hint="eastAsia" w:ascii="宋体" w:hAnsi="宋体" w:eastAsia="宋体" w:cs="仿宋_GB2312"/>
          <w:snapToGrid w:val="0"/>
          <w:color w:val="auto"/>
          <w:kern w:val="0"/>
          <w:sz w:val="24"/>
          <w:highlight w:val="none"/>
          <w:lang w:val="en-US" w:eastAsia="zh-CN"/>
        </w:rPr>
        <w:t>个日历天</w:t>
      </w:r>
      <w:r>
        <w:rPr>
          <w:rFonts w:hint="eastAsia" w:ascii="宋体" w:hAnsi="宋体" w:cs="仿宋_GB2312"/>
          <w:snapToGrid w:val="0"/>
          <w:color w:val="auto"/>
          <w:kern w:val="0"/>
          <w:sz w:val="24"/>
          <w:highlight w:val="none"/>
          <w:lang w:val="en-US" w:eastAsia="zh-CN"/>
        </w:rPr>
        <w:t>，</w:t>
      </w:r>
      <w:r>
        <w:rPr>
          <w:rFonts w:hint="eastAsia" w:ascii="宋体" w:hAnsi="宋体" w:eastAsia="宋体" w:cs="仿宋_GB2312"/>
          <w:snapToGrid w:val="0"/>
          <w:color w:val="auto"/>
          <w:kern w:val="0"/>
          <w:sz w:val="24"/>
          <w:highlight w:val="none"/>
          <w:lang w:val="en-US" w:eastAsia="zh-CN"/>
        </w:rPr>
        <w:t>预计开工日期2025年</w:t>
      </w:r>
      <w:r>
        <w:rPr>
          <w:rFonts w:hint="eastAsia" w:ascii="宋体" w:hAnsi="宋体" w:cs="仿宋_GB2312"/>
          <w:snapToGrid w:val="0"/>
          <w:color w:val="auto"/>
          <w:kern w:val="0"/>
          <w:sz w:val="24"/>
          <w:highlight w:val="none"/>
          <w:lang w:val="en-US" w:eastAsia="zh-CN"/>
        </w:rPr>
        <w:t>12</w:t>
      </w:r>
      <w:r>
        <w:rPr>
          <w:rFonts w:hint="eastAsia" w:ascii="宋体" w:hAnsi="宋体" w:eastAsia="宋体" w:cs="仿宋_GB2312"/>
          <w:snapToGrid w:val="0"/>
          <w:color w:val="auto"/>
          <w:kern w:val="0"/>
          <w:sz w:val="24"/>
          <w:highlight w:val="none"/>
          <w:lang w:val="en-US" w:eastAsia="zh-CN"/>
        </w:rPr>
        <w:t>月1日；</w:t>
      </w:r>
      <w:r>
        <w:rPr>
          <w:rFonts w:hint="eastAsia" w:ascii="宋体" w:hAnsi="宋体" w:eastAsia="宋体" w:cs="宋体"/>
          <w:sz w:val="24"/>
          <w:szCs w:val="24"/>
          <w:highlight w:val="none"/>
          <w:lang w:val="en-US" w:eastAsia="zh-CN"/>
        </w:rPr>
        <w:t>具体开工日期</w:t>
      </w:r>
      <w:r>
        <w:rPr>
          <w:rFonts w:hint="eastAsia" w:ascii="宋体" w:hAnsi="宋体" w:eastAsia="宋体" w:cs="宋体"/>
          <w:sz w:val="24"/>
          <w:szCs w:val="24"/>
          <w:highlight w:val="none"/>
        </w:rPr>
        <w:t>以监理出具开工令日期为准</w:t>
      </w:r>
      <w:r>
        <w:rPr>
          <w:rFonts w:hint="eastAsia" w:ascii="宋体" w:hAnsi="宋体" w:eastAsia="宋体" w:cs="仿宋_GB2312"/>
          <w:snapToGrid w:val="0"/>
          <w:color w:val="auto"/>
          <w:kern w:val="0"/>
          <w:sz w:val="24"/>
          <w:highlight w:val="none"/>
          <w:lang w:val="en-US" w:eastAsia="zh-CN"/>
        </w:rPr>
        <w:t>。</w:t>
      </w:r>
    </w:p>
    <w:p w14:paraId="5E55E381">
      <w:pPr>
        <w:pStyle w:val="3"/>
        <w:rPr>
          <w:rFonts w:hint="eastAsia" w:ascii="宋体" w:hAnsi="宋体" w:eastAsia="宋体" w:cs="仿宋_GB2312"/>
          <w:snapToGrid w:val="0"/>
          <w:color w:val="auto"/>
          <w:kern w:val="0"/>
          <w:sz w:val="24"/>
          <w:highlight w:val="none"/>
          <w:lang w:val="en-US" w:eastAsia="zh-CN"/>
        </w:rPr>
      </w:pPr>
      <w:r>
        <w:rPr>
          <w:rFonts w:hint="eastAsia" w:ascii="宋体" w:hAnsi="宋体"/>
          <w:snapToGrid w:val="0"/>
          <w:color w:val="auto"/>
          <w:sz w:val="24"/>
          <w:highlight w:val="none"/>
          <w:lang w:val="en-US" w:eastAsia="zh-CN"/>
        </w:rPr>
        <w:t>2.8支付方式：按节点支付，</w:t>
      </w:r>
      <w:r>
        <w:rPr>
          <w:rFonts w:ascii="宋体" w:hAnsi="宋体" w:eastAsia="宋体" w:cs="宋体"/>
          <w:sz w:val="24"/>
          <w:szCs w:val="24"/>
          <w:highlight w:val="none"/>
        </w:rPr>
        <w:t>现汇与</w:t>
      </w:r>
      <w:r>
        <w:rPr>
          <w:rFonts w:hint="eastAsia" w:ascii="宋体" w:hAnsi="宋体" w:eastAsia="宋体" w:cs="宋体"/>
          <w:sz w:val="24"/>
          <w:szCs w:val="24"/>
          <w:highlight w:val="none"/>
          <w:lang w:val="en-US" w:eastAsia="zh-CN"/>
        </w:rPr>
        <w:t>银行</w:t>
      </w:r>
      <w:r>
        <w:rPr>
          <w:rFonts w:ascii="宋体" w:hAnsi="宋体" w:eastAsia="宋体" w:cs="宋体"/>
          <w:sz w:val="24"/>
          <w:szCs w:val="24"/>
          <w:highlight w:val="none"/>
        </w:rPr>
        <w:t>承兑（6个月期）相结合</w:t>
      </w:r>
      <w:r>
        <w:rPr>
          <w:rFonts w:hint="eastAsia" w:ascii="宋体" w:hAnsi="宋体"/>
          <w:snapToGrid w:val="0"/>
          <w:color w:val="auto"/>
          <w:sz w:val="24"/>
          <w:highlight w:val="none"/>
          <w:lang w:val="en-US" w:eastAsia="zh-CN"/>
        </w:rPr>
        <w:t>。</w:t>
      </w:r>
    </w:p>
    <w:p w14:paraId="62869E8C">
      <w:pPr>
        <w:pStyle w:val="12"/>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14:paraId="7D08107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3.1 投标人须是具有独立法人资格并依法取得企业营业执照，且注册资本不少于</w:t>
      </w:r>
      <w:r>
        <w:rPr>
          <w:rFonts w:hint="eastAsia" w:ascii="宋体" w:hAnsi="宋体" w:eastAsia="宋体" w:cs="Times New Roman"/>
          <w:snapToGrid w:val="0"/>
          <w:color w:val="auto"/>
          <w:sz w:val="24"/>
          <w:highlight w:val="none"/>
          <w:lang w:val="en-US" w:eastAsia="zh-CN"/>
        </w:rPr>
        <w:t>100</w:t>
      </w:r>
      <w:r>
        <w:rPr>
          <w:rFonts w:hint="eastAsia" w:ascii="宋体" w:hAnsi="宋体" w:eastAsia="宋体" w:cs="Times New Roman"/>
          <w:snapToGrid w:val="0"/>
          <w:color w:val="auto"/>
          <w:sz w:val="24"/>
          <w:highlight w:val="none"/>
        </w:rPr>
        <w:t>00万元（其中实缴资本不低于</w:t>
      </w:r>
      <w:r>
        <w:rPr>
          <w:rFonts w:hint="eastAsia" w:ascii="宋体" w:hAnsi="宋体" w:eastAsia="宋体" w:cs="Times New Roman"/>
          <w:snapToGrid w:val="0"/>
          <w:color w:val="auto"/>
          <w:sz w:val="24"/>
          <w:highlight w:val="none"/>
          <w:lang w:val="en-US" w:eastAsia="zh-CN"/>
        </w:rPr>
        <w:t>5000</w:t>
      </w:r>
      <w:r>
        <w:rPr>
          <w:rFonts w:hint="eastAsia" w:ascii="宋体" w:hAnsi="宋体" w:eastAsia="宋体" w:cs="Times New Roman"/>
          <w:snapToGrid w:val="0"/>
          <w:color w:val="auto"/>
          <w:sz w:val="24"/>
          <w:highlight w:val="none"/>
        </w:rPr>
        <w:t>万元）企业营业执照处于有效期。</w:t>
      </w:r>
    </w:p>
    <w:p w14:paraId="2E72D49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3.2 投标人须具备建设行政主管部门颁发的有效的建筑工程施工总承包</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级及以上资质；同时具备建设行政主管部门颁发的有效的安全生产许可证。</w:t>
      </w:r>
    </w:p>
    <w:p w14:paraId="74155D91">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14:paraId="4BC6BE93">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项目经理1人，投标人拟派的项目经理必须已在投标人本单位注册并应具有建筑工程类</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级注册建造师执业资格</w:t>
      </w:r>
      <w:r>
        <w:rPr>
          <w:rFonts w:hint="eastAsia" w:ascii="宋体" w:hAnsi="宋体" w:eastAsia="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安全考核B证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2020年1月1日至今（合同签约时间为准）</w:t>
      </w:r>
      <w:r>
        <w:rPr>
          <w:rFonts w:hint="eastAsia" w:ascii="宋体" w:hAnsi="宋体" w:eastAsia="宋体" w:cs="Times New Roman"/>
          <w:snapToGrid w:val="0"/>
          <w:color w:val="auto"/>
          <w:sz w:val="24"/>
          <w:highlight w:val="none"/>
          <w:lang w:val="en-US" w:eastAsia="zh-CN"/>
        </w:rPr>
        <w:t>至少在1个已完工的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w:t>
      </w:r>
      <w:r>
        <w:rPr>
          <w:rFonts w:hint="eastAsia" w:ascii="宋体" w:hAnsi="宋体" w:cs="Times New Roman"/>
          <w:snapToGrid w:val="0"/>
          <w:color w:val="auto"/>
          <w:sz w:val="24"/>
          <w:highlight w:val="none"/>
          <w:lang w:val="en-US" w:eastAsia="zh-CN"/>
        </w:rPr>
        <w:t>合同金额≥5000万元的</w:t>
      </w:r>
      <w:r>
        <w:rPr>
          <w:rFonts w:hint="eastAsia" w:ascii="宋体" w:hAnsi="宋体" w:eastAsia="宋体" w:cs="Times New Roman"/>
          <w:snapToGrid w:val="0"/>
          <w:color w:val="auto"/>
          <w:sz w:val="24"/>
          <w:highlight w:val="none"/>
          <w:lang w:val="en-US" w:eastAsia="zh-CN"/>
        </w:rPr>
        <w:t>业绩合同、竣工验收证明材料</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全国或省级建筑市场监管公共服务平台个人工程业绩截图）；</w:t>
      </w:r>
    </w:p>
    <w:p w14:paraId="5D0E626F">
      <w:pPr>
        <w:spacing w:line="460" w:lineRule="exact"/>
        <w:ind w:right="6" w:firstLine="480" w:firstLineChars="200"/>
        <w:jc w:val="left"/>
        <w:rPr>
          <w:rFonts w:hint="eastAsia"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3.3.2</w:t>
      </w:r>
      <w:r>
        <w:rPr>
          <w:rFonts w:hint="eastAsia" w:ascii="宋体" w:hAnsi="宋体" w:eastAsia="宋体" w:cs="Times New Roman"/>
          <w:snapToGrid w:val="0"/>
          <w:color w:val="auto"/>
          <w:sz w:val="24"/>
          <w:highlight w:val="none"/>
        </w:rPr>
        <w:t>项目技术负责人1人，应具有工程类</w:t>
      </w:r>
      <w:r>
        <w:rPr>
          <w:rFonts w:hint="eastAsia" w:ascii="宋体" w:hAnsi="宋体" w:eastAsia="宋体" w:cs="Times New Roman"/>
          <w:snapToGrid w:val="0"/>
          <w:color w:val="auto"/>
          <w:sz w:val="24"/>
          <w:highlight w:val="none"/>
          <w:lang w:val="en-US" w:eastAsia="zh-CN"/>
        </w:rPr>
        <w:t>高</w:t>
      </w:r>
      <w:r>
        <w:rPr>
          <w:rFonts w:hint="eastAsia" w:ascii="宋体" w:hAnsi="宋体" w:eastAsia="宋体" w:cs="Times New Roman"/>
          <w:snapToGrid w:val="0"/>
          <w:color w:val="auto"/>
          <w:sz w:val="24"/>
          <w:highlight w:val="none"/>
        </w:rPr>
        <w:t>级及以上职称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14:paraId="056E2984">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3.3.3</w:t>
      </w:r>
      <w:r>
        <w:rPr>
          <w:rFonts w:hint="eastAsia" w:ascii="宋体" w:hAnsi="宋体" w:cs="Times New Roman"/>
          <w:snapToGrid w:val="0"/>
          <w:color w:val="auto"/>
          <w:sz w:val="24"/>
          <w:highlight w:val="none"/>
          <w:lang w:val="en-US" w:eastAsia="zh-CN"/>
        </w:rPr>
        <w:t>安全负责人1人，应具有中级及以上职称或中级及以上注册安全工程师和安全考核C证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eastAsia="zh-CN"/>
        </w:rPr>
        <w:t>；</w:t>
      </w:r>
    </w:p>
    <w:p w14:paraId="646A904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3.3.4施工员、质量员、安全员、造价员（二级及以上造价师）、材料员、资料员等按需配备</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均须持有建设行政主管部门要求的执业证书或岗位证书。</w:t>
      </w:r>
    </w:p>
    <w:p w14:paraId="3A9D39C8">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207EDAD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3F3DDA2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企业信誉良好，在信用中国平台上（http://www.creditchina.gov.cn）无失信记录，没有因骗取中标或者严重违约以及发生重大工程质量、安全生产事故等问题，被有关部门暂停投标资格并在暂停期内的不良记录，在住建主管部门官网无不良行为记录。</w:t>
      </w:r>
    </w:p>
    <w:p w14:paraId="6A994F11">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2022年01月01日（以合同签约时间为准）起至招标公告截止日止应承担过至少1个且单个合同金额不低于10000万元的工业类或公建类项目业绩。提供业绩合同书（施工范围、金额、时间可见）、竣工验收证明，该业绩能在“全国或省级建筑市场监管公共服务平台（四库一平台）”验真查询。</w:t>
      </w:r>
    </w:p>
    <w:p w14:paraId="04E908AD">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w:t>
      </w:r>
      <w:r>
        <w:rPr>
          <w:rFonts w:ascii="宋体" w:hAnsi="宋体" w:eastAsia="宋体" w:cs="宋体"/>
          <w:sz w:val="24"/>
          <w:szCs w:val="24"/>
          <w:highlight w:val="none"/>
        </w:rPr>
        <w:t>财务状况要求:近三年财务状况良好，净利润平均无亏损，有足够资金能力承担本项目的实施。【提供</w:t>
      </w:r>
      <w:r>
        <w:rPr>
          <w:rFonts w:hint="eastAsia" w:ascii="宋体" w:hAnsi="宋体" w:cs="宋体"/>
          <w:sz w:val="24"/>
          <w:szCs w:val="24"/>
          <w:highlight w:val="none"/>
          <w:lang w:val="en-US" w:eastAsia="zh-CN"/>
        </w:rPr>
        <w:t>近三年</w:t>
      </w:r>
      <w:r>
        <w:rPr>
          <w:rFonts w:ascii="宋体" w:hAnsi="宋体" w:eastAsia="宋体" w:cs="宋体"/>
          <w:sz w:val="24"/>
          <w:szCs w:val="24"/>
          <w:highlight w:val="none"/>
        </w:rPr>
        <w:t>经过会计师事务所审计签字盖章的审计报告：其中包括资产负债表、现金流量表、利润表、财务报表附注；另提供年度所得税纳税申报表及银行对账单(每年12月的，银行对账单仅需提供银行余额大的最后一张，不用提供全部流水）】。</w:t>
      </w:r>
    </w:p>
    <w:p w14:paraId="4AECD84B">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lang w:eastAsia="zh-CN"/>
        </w:rPr>
        <w:t>本次招标不接受联合体投标。</w:t>
      </w:r>
    </w:p>
    <w:p w14:paraId="724B4A81">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eastAsia="zh-CN"/>
        </w:rPr>
        <w:t>3.</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lang w:eastAsia="zh-CN"/>
        </w:rPr>
        <w:t>本次招标资格审查方式为资格</w:t>
      </w:r>
      <w:r>
        <w:rPr>
          <w:rFonts w:hint="eastAsia" w:ascii="宋体" w:hAnsi="宋体" w:eastAsia="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lang w:eastAsia="zh-CN"/>
        </w:rPr>
        <w:t>审；</w:t>
      </w:r>
    </w:p>
    <w:p w14:paraId="5451A5AC">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3.9</w:t>
      </w:r>
      <w:r>
        <w:rPr>
          <w:rFonts w:hint="eastAsia" w:ascii="宋体" w:hAnsi="宋体" w:eastAsia="宋体" w:cs="Times New Roman"/>
          <w:snapToGrid w:val="0"/>
          <w:color w:val="auto"/>
          <w:sz w:val="24"/>
          <w:highlight w:val="none"/>
          <w:lang w:eastAsia="zh-CN"/>
        </w:rPr>
        <w:t>投标人须符合《资格预审必要合格条件标准》（见附件一）。</w:t>
      </w:r>
    </w:p>
    <w:p w14:paraId="63F86213">
      <w:pPr>
        <w:pStyle w:val="12"/>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61D233E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本项目资格预审采用合格制。投标人递交的资格预审文件（包括必要时的约谈或考察）经审查均合格的，入围正式投标。</w:t>
      </w:r>
    </w:p>
    <w:p w14:paraId="0617022A">
      <w:pPr>
        <w:pStyle w:val="12"/>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6938C6A1">
      <w:pPr>
        <w:pStyle w:val="12"/>
        <w:keepNext w:val="0"/>
        <w:keepLines w:val="0"/>
        <w:pageBreakBefore w:val="0"/>
        <w:widowControl w:val="0"/>
        <w:kinsoku/>
        <w:overflowPunct/>
        <w:autoSpaceDE/>
        <w:autoSpaceDN/>
        <w:bidi w:val="0"/>
        <w:spacing w:line="440" w:lineRule="exact"/>
        <w:ind w:firstLine="480" w:firstLineChars="20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5.1有意向且符合上述条件的投标人，请于2025年</w:t>
      </w:r>
      <w:r>
        <w:rPr>
          <w:rFonts w:hint="eastAsia"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月</w:t>
      </w:r>
      <w:r>
        <w:rPr>
          <w:rFonts w:hint="eastAsia"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日1</w:t>
      </w:r>
      <w:r>
        <w:rPr>
          <w:rFonts w:hint="eastAsia"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：00前，登陆舍得酒业招采数字化平台(网址： https://ssrm.shede.com.cn），点击页面顶部“一链网”参与项目报名, 并按照“附件二投标预审资料提交模板”的要求提供资格预审盖章扫描文件及可编辑word版本。</w:t>
      </w:r>
    </w:p>
    <w:p w14:paraId="0EC1854A">
      <w:pPr>
        <w:spacing w:line="460" w:lineRule="exact"/>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5.2未按照上述要求进行报名的均视为报名无效，报名截止后通过资格预审的投标人可获取招标文件并参加投标。</w:t>
      </w:r>
    </w:p>
    <w:p w14:paraId="6B658B0B">
      <w:pPr>
        <w:pStyle w:val="12"/>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72566776">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eastAsia="宋体" w:cs="Times New Roman"/>
          <w:snapToGrid w:val="0"/>
          <w:color w:val="auto"/>
          <w:sz w:val="24"/>
          <w:highlight w:val="none"/>
          <w:u w:val="single"/>
          <w:lang w:val="en-US" w:eastAsia="zh-CN"/>
        </w:rPr>
        <w:t>80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eastAsia="宋体" w:cs="Times New Roman"/>
          <w:snapToGrid w:val="0"/>
          <w:color w:val="auto"/>
          <w:sz w:val="24"/>
          <w:highlight w:val="none"/>
          <w:lang w:val="en-US" w:eastAsia="zh-CN"/>
        </w:rPr>
        <w:t>捌拾万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eastAsia="宋体" w:cs="Times New Roman"/>
          <w:snapToGrid w:val="0"/>
          <w:color w:val="auto"/>
          <w:sz w:val="24"/>
          <w:highlight w:val="none"/>
          <w:lang w:eastAsia="zh-CN"/>
        </w:rPr>
        <w:t>ZC2-0</w:t>
      </w:r>
      <w:r>
        <w:rPr>
          <w:rFonts w:hint="eastAsia" w:ascii="宋体" w:hAnsi="宋体" w:cs="Times New Roman"/>
          <w:snapToGrid w:val="0"/>
          <w:color w:val="auto"/>
          <w:sz w:val="24"/>
          <w:highlight w:val="none"/>
          <w:lang w:val="en-US" w:eastAsia="zh-CN"/>
        </w:rPr>
        <w:t>16</w:t>
      </w:r>
      <w:r>
        <w:rPr>
          <w:rFonts w:hint="eastAsia" w:ascii="宋体" w:hAnsi="宋体" w:eastAsia="宋体" w:cs="Times New Roman"/>
          <w:snapToGrid w:val="0"/>
          <w:color w:val="auto"/>
          <w:sz w:val="24"/>
          <w:highlight w:val="none"/>
        </w:rPr>
        <w:t>。</w:t>
      </w:r>
    </w:p>
    <w:p w14:paraId="06D92DF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14:paraId="3FEA376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14:paraId="2BE2C14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14:paraId="1AE0DF6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14:paraId="5A13765C">
      <w:pPr>
        <w:spacing w:line="360" w:lineRule="auto"/>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w:t>
      </w:r>
      <w:r>
        <w:rPr>
          <w:rFonts w:ascii="宋体" w:hAnsi="宋体" w:eastAsia="宋体" w:cs="宋体"/>
          <w:sz w:val="24"/>
          <w:szCs w:val="24"/>
        </w:rPr>
        <w:t>本项目履约保证金</w:t>
      </w:r>
      <w:r>
        <w:rPr>
          <w:rFonts w:hint="eastAsia" w:ascii="宋体" w:hAnsi="宋体" w:eastAsia="宋体" w:cs="宋体"/>
          <w:sz w:val="24"/>
          <w:szCs w:val="24"/>
          <w:lang w:val="en-US" w:eastAsia="zh-CN"/>
        </w:rPr>
        <w:t>为</w:t>
      </w:r>
      <w:bookmarkStart w:id="7" w:name="_GoBack"/>
      <w:bookmarkEnd w:id="7"/>
      <w:r>
        <w:rPr>
          <w:rFonts w:ascii="宋体" w:hAnsi="宋体" w:eastAsia="宋体" w:cs="宋体"/>
          <w:sz w:val="24"/>
          <w:szCs w:val="24"/>
        </w:rPr>
        <w:t>合同金额的10%，</w:t>
      </w:r>
      <w:r>
        <w:rPr>
          <w:rFonts w:ascii="宋体" w:hAnsi="宋体" w:eastAsia="宋体" w:cs="宋体"/>
          <w:sz w:val="24"/>
          <w:szCs w:val="24"/>
        </w:rPr>
        <w:t>投标人若中标，</w:t>
      </w:r>
      <w:r>
        <w:rPr>
          <w:rFonts w:hint="eastAsia" w:ascii="宋体" w:hAnsi="宋体" w:cs="宋体"/>
          <w:sz w:val="24"/>
          <w:szCs w:val="24"/>
          <w:lang w:val="en-US" w:eastAsia="zh-CN"/>
        </w:rPr>
        <w:t>投标保证金自动转为履约保证金，不足部分</w:t>
      </w:r>
      <w:r>
        <w:rPr>
          <w:rFonts w:ascii="宋体" w:hAnsi="宋体" w:eastAsia="宋体" w:cs="宋体"/>
          <w:sz w:val="24"/>
          <w:szCs w:val="24"/>
        </w:rPr>
        <w:t>以现金或银行保函形式补足</w:t>
      </w:r>
      <w:r>
        <w:rPr>
          <w:rFonts w:ascii="宋体" w:hAnsi="宋体" w:eastAsia="宋体" w:cs="宋体"/>
          <w:sz w:val="24"/>
          <w:szCs w:val="24"/>
        </w:rPr>
        <w:t>。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355ACEE9">
      <w:pPr>
        <w:adjustRightInd w:val="0"/>
        <w:snapToGrid w:val="0"/>
        <w:spacing w:line="360" w:lineRule="auto"/>
        <w:ind w:left="0" w:leftChars="0" w:firstLine="0" w:firstLineChars="0"/>
        <w:rPr>
          <w:rFonts w:ascii="宋体" w:hAnsi="宋体" w:cs="宋体"/>
          <w:sz w:val="24"/>
        </w:rPr>
      </w:pPr>
      <w:bookmarkStart w:id="6"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4625E28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.1投标联系人：</w:t>
      </w:r>
    </w:p>
    <w:p w14:paraId="1DBEB2C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商务咨询：</w:t>
      </w:r>
      <w:r>
        <w:rPr>
          <w:rFonts w:hint="eastAsia" w:ascii="宋体" w:hAnsi="宋体" w:cs="Times New Roman"/>
          <w:snapToGrid w:val="0"/>
          <w:color w:val="auto"/>
          <w:sz w:val="24"/>
          <w:highlight w:val="none"/>
          <w:lang w:val="en-US" w:eastAsia="zh-CN"/>
        </w:rPr>
        <w:t>李女士</w:t>
      </w:r>
      <w:r>
        <w:rPr>
          <w:rFonts w:hint="eastAsia" w:ascii="宋体" w:hAnsi="宋体" w:eastAsia="宋体" w:cs="Times New Roman"/>
          <w:snapToGrid w:val="0"/>
          <w:color w:val="auto"/>
          <w:sz w:val="24"/>
          <w:highlight w:val="none"/>
        </w:rPr>
        <w:t xml:space="preserve"> </w:t>
      </w:r>
      <w:r>
        <w:rPr>
          <w:rFonts w:hint="eastAsia" w:ascii="宋体" w:hAnsi="宋体" w:cs="宋体"/>
          <w:sz w:val="24"/>
          <w:szCs w:val="24"/>
          <w:lang w:val="en-US" w:eastAsia="zh-CN"/>
        </w:rPr>
        <w:t>15182580506</w:t>
      </w:r>
      <w:r>
        <w:rPr>
          <w:rFonts w:hint="eastAsia" w:ascii="宋体" w:hAnsi="宋体" w:eastAsia="宋体" w:cs="Times New Roman"/>
          <w:snapToGrid w:val="0"/>
          <w:color w:val="auto"/>
          <w:sz w:val="24"/>
          <w:highlight w:val="none"/>
        </w:rPr>
        <w:t xml:space="preserve">  </w:t>
      </w:r>
      <w:r>
        <w:rPr>
          <w:rFonts w:hint="eastAsia" w:ascii="宋体" w:hAnsi="宋体" w:cs="Times New Roman"/>
          <w:snapToGrid w:val="0"/>
          <w:color w:val="auto"/>
          <w:sz w:val="24"/>
          <w:highlight w:val="none"/>
          <w:lang w:val="en-US" w:eastAsia="zh-CN"/>
        </w:rPr>
        <w:t xml:space="preserve">   </w:t>
      </w:r>
      <w:r>
        <w:rPr>
          <w:rFonts w:hint="eastAsia" w:ascii="宋体" w:hAnsi="宋体" w:eastAsia="宋体" w:cs="Times New Roman"/>
          <w:snapToGrid w:val="0"/>
          <w:color w:val="auto"/>
          <w:sz w:val="24"/>
          <w:highlight w:val="none"/>
        </w:rPr>
        <w:t xml:space="preserve">邮箱: </w:t>
      </w:r>
      <w:r>
        <w:rPr>
          <w:rFonts w:hint="eastAsia" w:ascii="宋体" w:hAnsi="宋体" w:cs="Times New Roman"/>
          <w:snapToGrid w:val="0"/>
          <w:color w:val="auto"/>
          <w:sz w:val="24"/>
          <w:highlight w:val="none"/>
          <w:lang w:val="en-US" w:eastAsia="zh-CN"/>
        </w:rPr>
        <w:t>limin3</w:t>
      </w:r>
      <w:r>
        <w:rPr>
          <w:rFonts w:ascii="宋体" w:hAnsi="宋体" w:eastAsia="宋体" w:cs="宋体"/>
          <w:sz w:val="24"/>
          <w:szCs w:val="24"/>
        </w:rPr>
        <w:t>@tuopai.biz</w:t>
      </w:r>
    </w:p>
    <w:p w14:paraId="1622791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凡涉及商务、技术咨询的，请投标人</w:t>
      </w:r>
      <w:r>
        <w:rPr>
          <w:rFonts w:hint="eastAsia" w:ascii="宋体" w:hAnsi="宋体" w:cs="Times New Roman"/>
          <w:snapToGrid w:val="0"/>
          <w:color w:val="auto"/>
          <w:sz w:val="24"/>
          <w:highlight w:val="none"/>
          <w:lang w:val="en-US" w:eastAsia="zh-CN"/>
        </w:rPr>
        <w:t>在规定时间内在</w:t>
      </w:r>
      <w:r>
        <w:rPr>
          <w:rFonts w:hint="eastAsia" w:ascii="宋体" w:hAnsi="宋体" w:eastAsia="宋体" w:cs="Times New Roman"/>
          <w:snapToGrid w:val="0"/>
          <w:color w:val="auto"/>
          <w:kern w:val="2"/>
          <w:sz w:val="24"/>
          <w:szCs w:val="24"/>
          <w:highlight w:val="none"/>
          <w:lang w:val="en-US" w:eastAsia="zh-CN" w:bidi="ar-SA"/>
        </w:rPr>
        <w:t>“一链网”</w:t>
      </w:r>
      <w:r>
        <w:rPr>
          <w:rFonts w:hint="eastAsia" w:ascii="宋体" w:hAnsi="宋体" w:cs="Times New Roman"/>
          <w:snapToGrid w:val="0"/>
          <w:color w:val="auto"/>
          <w:sz w:val="24"/>
          <w:highlight w:val="none"/>
          <w:lang w:val="en-US" w:eastAsia="zh-CN"/>
        </w:rPr>
        <w:t>对应界面</w:t>
      </w:r>
      <w:r>
        <w:rPr>
          <w:rFonts w:hint="eastAsia" w:ascii="宋体" w:hAnsi="宋体" w:eastAsia="宋体" w:cs="Times New Roman"/>
          <w:snapToGrid w:val="0"/>
          <w:color w:val="auto"/>
          <w:sz w:val="24"/>
          <w:highlight w:val="none"/>
        </w:rPr>
        <w:t xml:space="preserve">提出，招标联系人在2个日历天内回复。  </w:t>
      </w:r>
    </w:p>
    <w:p w14:paraId="7D30355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地    址：四川省射洪市沱牌镇沱牌大道999号   邮    编：629209</w:t>
      </w:r>
    </w:p>
    <w:p w14:paraId="2875DF0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.2招标文件的获取方式</w:t>
      </w:r>
    </w:p>
    <w:p w14:paraId="38B6D09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宋体"/>
          <w:color w:val="auto"/>
          <w:sz w:val="24"/>
          <w:highlight w:val="none"/>
        </w:rPr>
        <w:t>登陆舍得酒业招采数字化平台（网址: https://ssrm.shede.com.cn），点击页面顶部的“一链网”获取招标文件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招标文件不收取费用。</w:t>
      </w:r>
    </w:p>
    <w:p w14:paraId="7C6F069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.3时间安排：</w:t>
      </w:r>
    </w:p>
    <w:p w14:paraId="35A62C3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投标预审资料递交截止时间：202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日</w:t>
      </w:r>
      <w:r>
        <w:rPr>
          <w:rFonts w:hint="eastAsia" w:ascii="宋体" w:hAnsi="宋体" w:cs="Times New Roman"/>
          <w:snapToGrid w:val="0"/>
          <w:color w:val="auto"/>
          <w:sz w:val="24"/>
          <w:highlight w:val="none"/>
          <w:lang w:val="en-US" w:eastAsia="zh-CN"/>
        </w:rPr>
        <w:t>17</w:t>
      </w:r>
      <w:r>
        <w:rPr>
          <w:rFonts w:hint="eastAsia" w:ascii="宋体" w:hAnsi="宋体" w:eastAsia="宋体" w:cs="Times New Roman"/>
          <w:snapToGrid w:val="0"/>
          <w:color w:val="auto"/>
          <w:sz w:val="24"/>
          <w:highlight w:val="none"/>
        </w:rPr>
        <w:t>：00</w:t>
      </w:r>
    </w:p>
    <w:p w14:paraId="3EBF1DA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本项目预计发标时间：以招标文件为准</w:t>
      </w:r>
    </w:p>
    <w:p w14:paraId="1053C6E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本项目预计回标时间：以招标文件为准</w:t>
      </w:r>
    </w:p>
    <w:p w14:paraId="731ECF32">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本项目预计开标时间：以招标文件为准</w:t>
      </w:r>
    </w:p>
    <w:p w14:paraId="1472D4A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以上时间会根据项目的进度有所变动，以实际为准。</w:t>
      </w:r>
    </w:p>
    <w:p w14:paraId="54EE5F6D">
      <w:pPr>
        <w:adjustRightInd w:val="0"/>
        <w:snapToGrid w:val="0"/>
        <w:spacing w:line="360" w:lineRule="auto"/>
        <w:ind w:left="0" w:leftChars="0" w:firstLine="0" w:firstLineChars="0"/>
        <w:rPr>
          <w:b/>
          <w:sz w:val="24"/>
          <w:highlight w:val="none"/>
        </w:rPr>
      </w:pPr>
      <w:r>
        <w:rPr>
          <w:rFonts w:hint="eastAsia"/>
          <w:b/>
          <w:sz w:val="24"/>
          <w:lang w:val="en-US" w:eastAsia="zh-CN"/>
        </w:rPr>
        <w:t>8</w:t>
      </w:r>
      <w:r>
        <w:rPr>
          <w:rFonts w:hint="eastAsia"/>
          <w:b/>
          <w:sz w:val="24"/>
          <w:highlight w:val="none"/>
        </w:rPr>
        <w:t>.发布公告的媒介：</w:t>
      </w:r>
    </w:p>
    <w:p w14:paraId="7C68A97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本招标公告于202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25</w:t>
      </w:r>
      <w:r>
        <w:rPr>
          <w:rFonts w:hint="eastAsia" w:ascii="宋体" w:hAnsi="宋体" w:eastAsia="宋体" w:cs="Times New Roman"/>
          <w:snapToGrid w:val="0"/>
          <w:color w:val="auto"/>
          <w:sz w:val="24"/>
          <w:highlight w:val="none"/>
        </w:rPr>
        <w:t>日在如下网站发布：</w:t>
      </w:r>
    </w:p>
    <w:p w14:paraId="1AFE833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舍得酒业股份</w:t>
      </w:r>
      <w:r>
        <w:rPr>
          <w:rFonts w:hint="eastAsia" w:ascii="宋体" w:hAnsi="宋体" w:eastAsia="宋体" w:cs="Times New Roman"/>
          <w:snapToGrid w:val="0"/>
          <w:color w:val="auto"/>
          <w:sz w:val="24"/>
          <w:highlight w:val="none"/>
          <w:lang w:val="zh-CN"/>
        </w:rPr>
        <w:t>有限公司官网</w:t>
      </w:r>
      <w:r>
        <w:rPr>
          <w:rFonts w:hint="eastAsia" w:ascii="宋体" w:hAnsi="宋体" w:eastAsia="宋体" w:cs="Times New Roman"/>
          <w:snapToGrid w:val="0"/>
          <w:color w:val="auto"/>
          <w:sz w:val="24"/>
          <w:highlight w:val="none"/>
        </w:rPr>
        <w:t>（http://www.tuopaishede.cn）</w:t>
      </w:r>
    </w:p>
    <w:p w14:paraId="1838A9D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中国招标采购导航网</w:t>
      </w:r>
      <w:r>
        <w:rPr>
          <w:rFonts w:hint="eastAsia" w:ascii="宋体" w:hAnsi="宋体" w:eastAsia="宋体" w:cs="Times New Roman"/>
          <w:snapToGrid w:val="0"/>
          <w:color w:val="auto"/>
          <w:sz w:val="24"/>
          <w:highlight w:val="none"/>
        </w:rPr>
        <w:t>（http://www.okcis.cn）</w:t>
      </w:r>
    </w:p>
    <w:p w14:paraId="702287C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中国采购与招标网</w:t>
      </w:r>
      <w:r>
        <w:rPr>
          <w:rFonts w:hint="eastAsia" w:ascii="宋体" w:hAnsi="宋体" w:eastAsia="宋体" w:cs="Times New Roman"/>
          <w:snapToGrid w:val="0"/>
          <w:color w:val="auto"/>
          <w:sz w:val="24"/>
          <w:highlight w:val="none"/>
        </w:rPr>
        <w:t>（http://www.chinabidding.com.cn）</w:t>
      </w:r>
    </w:p>
    <w:p w14:paraId="2D90C90A">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本公告有效期至本项目开标当日</w:t>
      </w:r>
      <w:r>
        <w:rPr>
          <w:rFonts w:hint="eastAsia" w:ascii="宋体" w:hAnsi="宋体" w:eastAsia="宋体" w:cs="Times New Roman"/>
          <w:snapToGrid w:val="0"/>
          <w:color w:val="auto"/>
          <w:sz w:val="24"/>
          <w:highlight w:val="none"/>
          <w:lang w:val="en-US" w:eastAsia="zh-CN"/>
        </w:rPr>
        <w:t>17</w:t>
      </w:r>
      <w:r>
        <w:rPr>
          <w:rFonts w:hint="eastAsia" w:ascii="宋体" w:hAnsi="宋体" w:eastAsia="宋体" w:cs="Times New Roman"/>
          <w:snapToGrid w:val="0"/>
          <w:color w:val="auto"/>
          <w:sz w:val="24"/>
          <w:highlight w:val="none"/>
          <w:lang w:val="zh-CN"/>
        </w:rPr>
        <w:t>:</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lang w:val="zh-CN"/>
        </w:rPr>
        <w:t>0截止。</w:t>
      </w:r>
    </w:p>
    <w:p w14:paraId="55B7CC88">
      <w:pPr>
        <w:tabs>
          <w:tab w:val="right" w:leader="dot" w:pos="9471"/>
        </w:tabs>
        <w:spacing w:line="360" w:lineRule="auto"/>
        <w:ind w:left="0" w:leftChars="0" w:firstLine="0" w:firstLineChars="0"/>
        <w:jc w:val="left"/>
        <w:rPr>
          <w:b/>
          <w:sz w:val="24"/>
        </w:rPr>
      </w:pPr>
      <w:r>
        <w:rPr>
          <w:rFonts w:hint="eastAsia"/>
          <w:b/>
          <w:sz w:val="24"/>
          <w:lang w:val="en-US" w:eastAsia="zh-CN"/>
        </w:rPr>
        <w:t>9</w:t>
      </w:r>
      <w:r>
        <w:rPr>
          <w:rFonts w:hint="eastAsia"/>
          <w:b/>
          <w:sz w:val="24"/>
        </w:rPr>
        <w:t>.附件</w:t>
      </w:r>
    </w:p>
    <w:p w14:paraId="072A21AB">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附件一：资格预审必要合格条件标准</w:t>
      </w:r>
    </w:p>
    <w:p w14:paraId="03A5642C">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附件二：投标预审资料提交模板（点击下载）</w:t>
      </w:r>
    </w:p>
    <w:p w14:paraId="715EC14E">
      <w:pPr>
        <w:tabs>
          <w:tab w:val="right" w:leader="dot" w:pos="9471"/>
        </w:tabs>
        <w:spacing w:line="360" w:lineRule="auto"/>
        <w:ind w:left="0" w:leftChars="0" w:firstLine="0" w:firstLineChars="0"/>
        <w:jc w:val="left"/>
        <w:rPr>
          <w:rFonts w:hint="eastAsia"/>
          <w:b/>
          <w:sz w:val="24"/>
          <w:lang w:val="en-US" w:eastAsia="zh-CN"/>
        </w:rPr>
      </w:pPr>
      <w:r>
        <w:rPr>
          <w:rFonts w:hint="eastAsia"/>
          <w:b/>
          <w:sz w:val="24"/>
          <w:lang w:val="en-US" w:eastAsia="zh-CN"/>
        </w:rPr>
        <w:t>1</w:t>
      </w:r>
      <w:r>
        <w:rPr>
          <w:rFonts w:hint="default"/>
          <w:b/>
          <w:sz w:val="24"/>
          <w:lang w:val="en-US" w:eastAsia="zh-CN"/>
        </w:rPr>
        <w:t>0</w:t>
      </w:r>
      <w:r>
        <w:rPr>
          <w:rFonts w:hint="eastAsia"/>
          <w:b/>
          <w:sz w:val="24"/>
          <w:lang w:val="en-US" w:eastAsia="zh-CN"/>
        </w:rPr>
        <w:t>、投诉</w:t>
      </w:r>
    </w:p>
    <w:p w14:paraId="36129AE0">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投诉电话：189 8258 8111     投诉邮箱：</w:t>
      </w:r>
      <w:r>
        <w:rPr>
          <w:rFonts w:hint="eastAsia" w:ascii="宋体" w:hAnsi="宋体" w:eastAsia="宋体" w:cs="Times New Roman"/>
          <w:snapToGrid w:val="0"/>
          <w:color w:val="auto"/>
          <w:sz w:val="24"/>
          <w:highlight w:val="none"/>
          <w:lang w:val="en-US" w:eastAsia="zh-CN"/>
        </w:rPr>
        <w:fldChar w:fldCharType="begin"/>
      </w:r>
      <w:r>
        <w:rPr>
          <w:rFonts w:hint="eastAsia" w:ascii="宋体" w:hAnsi="宋体" w:eastAsia="宋体" w:cs="Times New Roman"/>
          <w:snapToGrid w:val="0"/>
          <w:color w:val="auto"/>
          <w:sz w:val="24"/>
          <w:highlight w:val="none"/>
          <w:lang w:val="en-US" w:eastAsia="zh-CN"/>
        </w:rPr>
        <w:instrText xml:space="preserve"> HYPERLINK "mailto:fkzx@tuopai.biz%EF%BC%89%E3%80%82" </w:instrText>
      </w:r>
      <w:r>
        <w:rPr>
          <w:rFonts w:hint="eastAsia" w:ascii="宋体" w:hAnsi="宋体" w:eastAsia="宋体" w:cs="Times New Roman"/>
          <w:snapToGrid w:val="0"/>
          <w:color w:val="auto"/>
          <w:sz w:val="24"/>
          <w:highlight w:val="none"/>
          <w:lang w:val="en-US" w:eastAsia="zh-CN"/>
        </w:rPr>
        <w:fldChar w:fldCharType="separate"/>
      </w:r>
      <w:r>
        <w:rPr>
          <w:rFonts w:hint="eastAsia" w:ascii="宋体" w:hAnsi="宋体" w:eastAsia="宋体" w:cs="Times New Roman"/>
          <w:snapToGrid w:val="0"/>
          <w:color w:val="auto"/>
          <w:sz w:val="24"/>
          <w:highlight w:val="none"/>
          <w:lang w:val="en-US" w:eastAsia="zh-CN"/>
        </w:rPr>
        <w:t>fkzx@tuopai.biz</w:t>
      </w:r>
      <w:r>
        <w:rPr>
          <w:rFonts w:hint="eastAsia" w:ascii="宋体" w:hAnsi="宋体" w:eastAsia="宋体" w:cs="Times New Roman"/>
          <w:snapToGrid w:val="0"/>
          <w:color w:val="auto"/>
          <w:sz w:val="24"/>
          <w:highlight w:val="none"/>
          <w:lang w:val="en-US" w:eastAsia="zh-CN"/>
        </w:rPr>
        <w:fldChar w:fldCharType="end"/>
      </w:r>
    </w:p>
    <w:p w14:paraId="164CB864">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为广泛听取客户、合作伙伴及社会公众的意见与建议，进一步提升我司采购服务质量，舍得酒业招采中心设立公共意见搜集邮箱：Smart-Procurement@tuopai.biz</w:t>
      </w:r>
    </w:p>
    <w:p w14:paraId="65051FFA">
      <w:pPr>
        <w:tabs>
          <w:tab w:val="right" w:leader="dot" w:pos="9471"/>
        </w:tabs>
        <w:spacing w:line="360" w:lineRule="auto"/>
        <w:ind w:left="0" w:leftChars="0" w:firstLine="0" w:firstLineChars="0"/>
        <w:jc w:val="left"/>
        <w:rPr>
          <w:rFonts w:hint="default"/>
          <w:b/>
          <w:sz w:val="24"/>
          <w:lang w:val="en-US" w:eastAsia="zh-CN"/>
        </w:rPr>
      </w:pPr>
    </w:p>
    <w:p w14:paraId="0656A254">
      <w:pPr>
        <w:ind w:left="0" w:leftChars="0" w:firstLine="0" w:firstLineChars="0"/>
      </w:pPr>
    </w:p>
    <w:bookmarkEnd w:id="6"/>
    <w:p w14:paraId="19D85807">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eastAsia="宋体" w:cs="Times New Roman"/>
          <w:snapToGrid w:val="0"/>
          <w:color w:val="auto"/>
          <w:sz w:val="24"/>
          <w:highlight w:val="none"/>
          <w:lang w:val="zh-CN"/>
        </w:rPr>
        <w:t xml:space="preserve"> 舍得酒业股份有限公司</w:t>
      </w:r>
    </w:p>
    <w:p w14:paraId="681E320A">
      <w:pPr>
        <w:jc w:val="right"/>
        <w:rPr>
          <w:rFonts w:hint="eastAsia" w:ascii="仿宋" w:hAnsi="仿宋" w:eastAsia="仿宋"/>
          <w:sz w:val="32"/>
          <w:szCs w:val="32"/>
        </w:rPr>
      </w:pPr>
      <w:r>
        <w:rPr>
          <w:rFonts w:hint="eastAsia" w:ascii="宋体" w:hAnsi="宋体" w:eastAsia="宋体" w:cs="Times New Roman"/>
          <w:snapToGrid w:val="0"/>
          <w:color w:val="auto"/>
          <w:sz w:val="24"/>
          <w:highlight w:val="none"/>
          <w:lang w:val="zh-CN"/>
        </w:rPr>
        <w:t>二〇二</w:t>
      </w:r>
      <w:r>
        <w:rPr>
          <w:rFonts w:hint="eastAsia" w:ascii="宋体" w:hAnsi="宋体" w:cs="Times New Roman"/>
          <w:snapToGrid w:val="0"/>
          <w:color w:val="auto"/>
          <w:sz w:val="24"/>
          <w:highlight w:val="none"/>
          <w:lang w:val="en-US" w:eastAsia="zh-CN"/>
        </w:rPr>
        <w:t>五</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六</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二十五</w:t>
      </w:r>
      <w:r>
        <w:rPr>
          <w:rFonts w:hint="eastAsia" w:ascii="宋体" w:hAnsi="宋体" w:eastAsia="宋体" w:cs="Times New Roman"/>
          <w:snapToGrid w:val="0"/>
          <w:color w:val="auto"/>
          <w:sz w:val="24"/>
          <w:highlight w:val="none"/>
          <w:lang w:val="zh-CN"/>
        </w:rPr>
        <w:t>日</w:t>
      </w:r>
    </w:p>
    <w:p w14:paraId="736146A2">
      <w:pPr>
        <w:rPr>
          <w:rFonts w:hint="default" w:eastAsia="宋体"/>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AE7DD">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F213BE">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4F213BE">
                    <w:pPr>
                      <w:pStyle w:val="4"/>
                    </w:pPr>
                    <w:r>
                      <w:fldChar w:fldCharType="begin"/>
                    </w:r>
                    <w:r>
                      <w:instrText xml:space="preserve"> PAGE  \* MERGEFORMAT </w:instrText>
                    </w:r>
                    <w:r>
                      <w:fldChar w:fldCharType="separate"/>
                    </w:r>
                    <w:r>
                      <w:t>3</w:t>
                    </w:r>
                    <w:r>
                      <w:fldChar w:fldCharType="end"/>
                    </w:r>
                  </w:p>
                </w:txbxContent>
              </v:textbox>
            </v:shape>
          </w:pict>
        </mc:Fallback>
      </mc:AlternateContent>
    </w:r>
  </w:p>
  <w:p w14:paraId="31E69F63">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00000000"/>
    <w:rsid w:val="001944E3"/>
    <w:rsid w:val="0078143C"/>
    <w:rsid w:val="04240EED"/>
    <w:rsid w:val="07BA5E02"/>
    <w:rsid w:val="07ED2710"/>
    <w:rsid w:val="07ED720B"/>
    <w:rsid w:val="08732C15"/>
    <w:rsid w:val="0BBC48D3"/>
    <w:rsid w:val="0D8F05B5"/>
    <w:rsid w:val="0F0037B9"/>
    <w:rsid w:val="0F0C791F"/>
    <w:rsid w:val="1145536B"/>
    <w:rsid w:val="1185787E"/>
    <w:rsid w:val="125147E6"/>
    <w:rsid w:val="135728A7"/>
    <w:rsid w:val="13877EBC"/>
    <w:rsid w:val="13DE0961"/>
    <w:rsid w:val="145B6985"/>
    <w:rsid w:val="14A8633C"/>
    <w:rsid w:val="15675935"/>
    <w:rsid w:val="17773DA4"/>
    <w:rsid w:val="17E91E36"/>
    <w:rsid w:val="1904793D"/>
    <w:rsid w:val="19252450"/>
    <w:rsid w:val="193E0B05"/>
    <w:rsid w:val="1ADC289C"/>
    <w:rsid w:val="1B63679E"/>
    <w:rsid w:val="1D405C08"/>
    <w:rsid w:val="1F116581"/>
    <w:rsid w:val="20504FFF"/>
    <w:rsid w:val="215313DE"/>
    <w:rsid w:val="22B766F9"/>
    <w:rsid w:val="24F37160"/>
    <w:rsid w:val="25406175"/>
    <w:rsid w:val="25826129"/>
    <w:rsid w:val="26013AFE"/>
    <w:rsid w:val="27EC0C1C"/>
    <w:rsid w:val="29745CEA"/>
    <w:rsid w:val="2C7965AC"/>
    <w:rsid w:val="2DD815E9"/>
    <w:rsid w:val="303F23BE"/>
    <w:rsid w:val="30BA13E0"/>
    <w:rsid w:val="32376D23"/>
    <w:rsid w:val="34E97C37"/>
    <w:rsid w:val="37797999"/>
    <w:rsid w:val="37E2103B"/>
    <w:rsid w:val="37FF59C4"/>
    <w:rsid w:val="39D21DAC"/>
    <w:rsid w:val="3AA02247"/>
    <w:rsid w:val="3BC47524"/>
    <w:rsid w:val="3D0A2236"/>
    <w:rsid w:val="3D1A636E"/>
    <w:rsid w:val="3E3D025B"/>
    <w:rsid w:val="3E9B63DC"/>
    <w:rsid w:val="3EB5020A"/>
    <w:rsid w:val="413E130B"/>
    <w:rsid w:val="4541586E"/>
    <w:rsid w:val="45E33624"/>
    <w:rsid w:val="4613720A"/>
    <w:rsid w:val="461D72A7"/>
    <w:rsid w:val="465D2C01"/>
    <w:rsid w:val="47761FBD"/>
    <w:rsid w:val="48735D3E"/>
    <w:rsid w:val="4BE60F1D"/>
    <w:rsid w:val="4C675BBA"/>
    <w:rsid w:val="4F191043"/>
    <w:rsid w:val="51E97071"/>
    <w:rsid w:val="547F5A6B"/>
    <w:rsid w:val="56F24C1A"/>
    <w:rsid w:val="575F6905"/>
    <w:rsid w:val="57E00F16"/>
    <w:rsid w:val="58A01E2C"/>
    <w:rsid w:val="5A977AC9"/>
    <w:rsid w:val="5AE70BB0"/>
    <w:rsid w:val="5CD33189"/>
    <w:rsid w:val="5E652175"/>
    <w:rsid w:val="5F2E1FB7"/>
    <w:rsid w:val="5F4B0077"/>
    <w:rsid w:val="6142679E"/>
    <w:rsid w:val="62442E03"/>
    <w:rsid w:val="62E55633"/>
    <w:rsid w:val="63421B9D"/>
    <w:rsid w:val="64A2188E"/>
    <w:rsid w:val="66104275"/>
    <w:rsid w:val="669E6F67"/>
    <w:rsid w:val="66CB2E9F"/>
    <w:rsid w:val="69763488"/>
    <w:rsid w:val="6A036897"/>
    <w:rsid w:val="6AE01995"/>
    <w:rsid w:val="6B1A4EC6"/>
    <w:rsid w:val="6B9D4CFC"/>
    <w:rsid w:val="6C6B54E9"/>
    <w:rsid w:val="6D620875"/>
    <w:rsid w:val="6D677C52"/>
    <w:rsid w:val="6DDB159E"/>
    <w:rsid w:val="6E1B051A"/>
    <w:rsid w:val="6E5F1395"/>
    <w:rsid w:val="6F87257C"/>
    <w:rsid w:val="6FB66EBE"/>
    <w:rsid w:val="70D7566B"/>
    <w:rsid w:val="732950EB"/>
    <w:rsid w:val="747D391D"/>
    <w:rsid w:val="7597588D"/>
    <w:rsid w:val="76790512"/>
    <w:rsid w:val="76DF328E"/>
    <w:rsid w:val="78AF1048"/>
    <w:rsid w:val="7941548E"/>
    <w:rsid w:val="794C1B10"/>
    <w:rsid w:val="7A8F37D9"/>
    <w:rsid w:val="7BB73927"/>
    <w:rsid w:val="7C0972AA"/>
    <w:rsid w:val="7F427C3D"/>
    <w:rsid w:val="7FAA70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character" w:styleId="10">
    <w:name w:val="Strong"/>
    <w:basedOn w:val="9"/>
    <w:qFormat/>
    <w:uiPriority w:val="0"/>
    <w:rPr>
      <w:b/>
    </w:rPr>
  </w:style>
  <w:style w:type="character" w:styleId="11">
    <w:name w:val="Hyperlink"/>
    <w:basedOn w:val="9"/>
    <w:qFormat/>
    <w:uiPriority w:val="0"/>
    <w:rPr>
      <w:color w:val="0000FF"/>
      <w:u w:val="single"/>
    </w:rPr>
  </w:style>
  <w:style w:type="paragraph" w:customStyle="1" w:styleId="12">
    <w:name w:val="样式1"/>
    <w:basedOn w:val="1"/>
    <w:autoRedefine/>
    <w:qFormat/>
    <w:uiPriority w:val="0"/>
    <w:pPr>
      <w:adjustRightInd w:val="0"/>
      <w:snapToGrid w:val="0"/>
      <w:ind w:firstLine="0" w:firstLineChars="0"/>
    </w:pPr>
    <w:rPr>
      <w:rFonts w:ascii="宋体" w:hAnsi="宋体"/>
    </w:rPr>
  </w:style>
  <w:style w:type="paragraph" w:styleId="13">
    <w:name w:val="List Paragraph"/>
    <w:basedOn w:val="1"/>
    <w:autoRedefine/>
    <w:qFormat/>
    <w:uiPriority w:val="0"/>
    <w:pPr>
      <w:ind w:firstLine="420"/>
    </w:pPr>
  </w:style>
  <w:style w:type="paragraph" w:customStyle="1" w:styleId="1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2989</Words>
  <Characters>3473</Characters>
  <Lines>0</Lines>
  <Paragraphs>0</Paragraphs>
  <TotalTime>1</TotalTime>
  <ScaleCrop>false</ScaleCrop>
  <LinksUpToDate>false</LinksUpToDate>
  <CharactersWithSpaces>3556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2024-07-08T01:29:00Z</dcterms:created>
  <dc:creator>admin</dc:creator>
  <cp:lastModifiedBy>李敏</cp:lastModifiedBy>
  <dcterms:modified xsi:type="dcterms:W3CDTF">2025-06-25T01:05:11Z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D1F5A7D71C0B43479CE7EFE631C91BE0_12</vt:lpwstr>
  </property>
  <property fmtid="{D5CDD505-2E9C-101B-9397-08002B2CF9AE}" pid="4" name="KSOTemplateDocerSaveRecord">
    <vt:lpwstr>eyJoZGlkIjoiMDQxNjA0NWRlOTFlNDBmNWRjM2Y3Zjk1OTY0M2QyNGYiLCJ1c2VySWQiOiI3NTkwNTc1OTcifQ==</vt:lpwstr>
  </property>
</Properties>
</file>