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BC9C4">
      <w:pPr>
        <w:adjustRightInd w:val="0"/>
        <w:snapToGrid w:val="0"/>
        <w:spacing w:line="360" w:lineRule="auto"/>
        <w:jc w:val="center"/>
        <w:rPr>
          <w:rFonts w:hint="eastAsia" w:ascii="仿宋" w:hAnsi="仿宋" w:eastAsia="仿宋"/>
          <w:b/>
          <w:sz w:val="28"/>
          <w:szCs w:val="28"/>
        </w:rPr>
      </w:pPr>
      <w:bookmarkStart w:id="4" w:name="_GoBack"/>
      <w:r>
        <w:rPr>
          <w:rFonts w:hint="eastAsia" w:ascii="仿宋" w:hAnsi="仿宋" w:eastAsia="仿宋"/>
          <w:b/>
          <w:sz w:val="28"/>
          <w:szCs w:val="28"/>
        </w:rPr>
        <w:t>四川沱牌舍得营销有限公司</w:t>
      </w:r>
    </w:p>
    <w:p w14:paraId="2455D64A">
      <w:pPr>
        <w:adjustRightInd w:val="0"/>
        <w:snapToGrid w:val="0"/>
        <w:spacing w:line="360" w:lineRule="auto"/>
        <w:jc w:val="center"/>
        <w:rPr>
          <w:rFonts w:ascii="仿宋" w:hAnsi="仿宋" w:eastAsia="仿宋"/>
          <w:bCs/>
          <w:sz w:val="28"/>
          <w:szCs w:val="28"/>
        </w:rPr>
      </w:pPr>
      <w:r>
        <w:rPr>
          <w:rFonts w:hint="eastAsia" w:ascii="仿宋" w:hAnsi="仿宋" w:eastAsia="仿宋"/>
          <w:bCs/>
          <w:sz w:val="28"/>
          <w:szCs w:val="28"/>
          <w:lang w:eastAsia="zh-CN"/>
        </w:rPr>
        <w:t>2025年Q4程序化广告投放项目</w:t>
      </w:r>
    </w:p>
    <w:p w14:paraId="0C0A9793">
      <w:pPr>
        <w:adjustRightInd w:val="0"/>
        <w:snapToGrid w:val="0"/>
        <w:spacing w:line="360" w:lineRule="auto"/>
        <w:jc w:val="center"/>
        <w:rPr>
          <w:rFonts w:hint="eastAsia" w:ascii="仿宋" w:hAnsi="仿宋" w:eastAsia="仿宋"/>
          <w:sz w:val="28"/>
          <w:szCs w:val="28"/>
          <w:lang w:eastAsia="zh-CN"/>
        </w:rPr>
      </w:pPr>
      <w:r>
        <w:rPr>
          <w:rFonts w:hint="eastAsia" w:ascii="仿宋" w:hAnsi="仿宋" w:eastAsia="仿宋"/>
          <w:sz w:val="28"/>
          <w:szCs w:val="28"/>
          <w:lang w:eastAsia="zh-CN"/>
        </w:rPr>
        <w:t>舍司招(2025)-ZC3-36</w:t>
      </w:r>
    </w:p>
    <w:bookmarkEnd w:id="4"/>
    <w:p w14:paraId="0D6588D8">
      <w:pPr>
        <w:adjustRightInd w:val="0"/>
        <w:snapToGrid w:val="0"/>
        <w:spacing w:line="360" w:lineRule="auto"/>
        <w:ind w:firstLine="560"/>
        <w:jc w:val="center"/>
        <w:rPr>
          <w:rFonts w:ascii="仿宋" w:hAnsi="仿宋" w:eastAsia="仿宋"/>
          <w:sz w:val="28"/>
          <w:szCs w:val="28"/>
        </w:rPr>
      </w:pPr>
    </w:p>
    <w:p w14:paraId="329FB260">
      <w:pPr>
        <w:adjustRightInd w:val="0"/>
        <w:snapToGrid w:val="0"/>
        <w:spacing w:line="360" w:lineRule="auto"/>
        <w:ind w:firstLine="562"/>
        <w:rPr>
          <w:rFonts w:hint="eastAsia" w:ascii="仿宋" w:hAnsi="仿宋" w:eastAsia="仿宋"/>
          <w:sz w:val="28"/>
          <w:szCs w:val="28"/>
        </w:rPr>
      </w:pPr>
      <w:bookmarkStart w:id="0" w:name="_Hlk155268792"/>
      <w:r>
        <w:rPr>
          <w:rFonts w:hint="eastAsia" w:ascii="仿宋" w:hAnsi="仿宋" w:eastAsia="仿宋"/>
          <w:sz w:val="28"/>
          <w:szCs w:val="28"/>
        </w:rPr>
        <w:t>致各潜在投标人：</w:t>
      </w:r>
    </w:p>
    <w:p w14:paraId="3B425467">
      <w:pPr>
        <w:adjustRightInd w:val="0"/>
        <w:snapToGrid w:val="0"/>
        <w:spacing w:line="360" w:lineRule="auto"/>
        <w:ind w:firstLine="562"/>
        <w:rPr>
          <w:rFonts w:hint="eastAsia"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sz w:val="28"/>
          <w:szCs w:val="28"/>
          <w:lang w:eastAsia="zh-CN"/>
        </w:rPr>
        <w:t>2025年Q4程序化广告投放项目</w:t>
      </w:r>
      <w:r>
        <w:rPr>
          <w:rFonts w:hint="eastAsia" w:ascii="仿宋" w:hAnsi="仿宋" w:eastAsia="仿宋"/>
          <w:sz w:val="28"/>
          <w:szCs w:val="28"/>
        </w:rPr>
        <w:t>进行公开招标。</w:t>
      </w:r>
    </w:p>
    <w:p w14:paraId="32DED02F">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一、项目概况</w:t>
      </w:r>
    </w:p>
    <w:p w14:paraId="28E5789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1.1项目名称：</w:t>
      </w:r>
      <w:r>
        <w:rPr>
          <w:rFonts w:hint="eastAsia" w:ascii="仿宋" w:hAnsi="仿宋" w:eastAsia="仿宋"/>
          <w:sz w:val="28"/>
          <w:szCs w:val="28"/>
          <w:lang w:eastAsia="zh-CN"/>
        </w:rPr>
        <w:t>2025年Q4程序化广告投放项目</w:t>
      </w:r>
    </w:p>
    <w:p w14:paraId="1D233B81">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1.2项目背景：</w:t>
      </w:r>
    </w:p>
    <w:p w14:paraId="138E87F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2025年白酒行业正处于深度调整与转型的关键阶段、线上酒水消费的增长势头和数字化营销工具的日趋成熟，双11、双12作为Q4核心电商节点，在此期间各大酒企均加大营销投入，竞争异常激烈。不仅有名酒品牌之间的竞争，还有区域品牌、互联网白酒品牌的参与，广告竞价激烈，流量成本上升，需要更加精准和高效的广告策略。</w:t>
      </w:r>
    </w:p>
    <w:p w14:paraId="500B6ED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1.3项目主要服务内容：</w:t>
      </w:r>
    </w:p>
    <w:p w14:paraId="4CCFEC1D">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1.3.1策略规划：</w:t>
      </w:r>
    </w:p>
    <w:p w14:paraId="2D625774">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（1）结合京东平台双11、双12活动节奏进行项目的节奏规划 （目前官方节奏未出，可先结合2024年双11、双12节奏进行规划）</w:t>
      </w:r>
    </w:p>
    <w:p w14:paraId="71EB382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（2）多种媒体组合、人群标签组合策略</w:t>
      </w:r>
    </w:p>
    <w:p w14:paraId="1387218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（3）舍得、沱牌2个品牌的产品分配、动态预算分配模型</w:t>
      </w:r>
    </w:p>
    <w:p w14:paraId="492463A4">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1.3.2创意物料：</w:t>
      </w:r>
    </w:p>
    <w:p w14:paraId="4CD1F140">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（1）A/B组素材测试（含图片/视频/动图）</w:t>
      </w:r>
    </w:p>
    <w:p w14:paraId="521CEAAA">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（2）动态创意优化</w:t>
      </w:r>
    </w:p>
    <w:p w14:paraId="36912C7F">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1.3.3数据支持：</w:t>
      </w:r>
    </w:p>
    <w:p w14:paraId="7A27EE80">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（1）日常数据分析反馈</w:t>
      </w:r>
    </w:p>
    <w:p w14:paraId="19AFE26E">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（2）后链路归因分析</w:t>
      </w:r>
    </w:p>
    <w:p w14:paraId="268470FB">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（3）三方数据监测融合（投放链接为秒针加监测代码后的链接，秒针由品牌方提供）</w:t>
      </w:r>
    </w:p>
    <w:p w14:paraId="1131E3C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1.3.4执行保障</w:t>
      </w:r>
    </w:p>
    <w:p w14:paraId="42341A1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（1）跨平台投放协同</w:t>
      </w:r>
    </w:p>
    <w:p w14:paraId="2E4856EA">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（2）结案报告（含ROI测算模型）</w:t>
      </w:r>
    </w:p>
    <w:p w14:paraId="4485344D">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（3）7×24小时异常监控</w:t>
      </w:r>
    </w:p>
    <w:p w14:paraId="7AE9761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（4）开放后台账号与密码，供品牌方随时查看。</w:t>
      </w:r>
    </w:p>
    <w:p w14:paraId="5C78AE1B">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1.4</w:t>
      </w:r>
      <w:bookmarkStart w:id="1" w:name="_Hlk150787032"/>
      <w:r>
        <w:rPr>
          <w:rFonts w:hint="eastAsia" w:ascii="仿宋" w:hAnsi="仿宋" w:eastAsia="仿宋"/>
          <w:sz w:val="28"/>
          <w:szCs w:val="28"/>
        </w:rPr>
        <w:t>项目实施时间：2025年10月22日-2025年12月14日（以实际签约时间为准）</w:t>
      </w:r>
      <w:bookmarkEnd w:id="1"/>
    </w:p>
    <w:p w14:paraId="1CBC20D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7843D80D">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1.6验收方式：提供结案报告书面验收。</w:t>
      </w:r>
    </w:p>
    <w:p w14:paraId="7A043E57">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1.7付款方式：根据项目执行情况和招标人验收合格情况付款，投标人申请付款前均应提供等额增值税专用发票。 </w:t>
      </w:r>
    </w:p>
    <w:p w14:paraId="5DC45AAA">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 xml:space="preserve">1.8项目资金来源：自有资金       </w:t>
      </w:r>
    </w:p>
    <w:p w14:paraId="50D713FB">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二、投标人的资格要求及审查方式</w:t>
      </w:r>
    </w:p>
    <w:p w14:paraId="6626776C">
      <w:pPr>
        <w:adjustRightInd w:val="0"/>
        <w:snapToGrid w:val="0"/>
        <w:spacing w:line="360" w:lineRule="auto"/>
        <w:ind w:firstLine="560"/>
        <w:rPr>
          <w:rFonts w:hint="eastAsia" w:ascii="仿宋" w:hAnsi="仿宋" w:eastAsia="仿宋"/>
          <w:sz w:val="28"/>
          <w:szCs w:val="28"/>
        </w:rPr>
      </w:pPr>
      <w:bookmarkStart w:id="2" w:name="OLE_LINK2"/>
      <w:r>
        <w:rPr>
          <w:rFonts w:hint="eastAsia" w:ascii="仿宋" w:hAnsi="仿宋" w:eastAsia="仿宋"/>
          <w:sz w:val="28"/>
          <w:szCs w:val="28"/>
        </w:rPr>
        <w:t xml:space="preserve">2.1投标人应具有独立的法人资格，持有在中国合法注册的《营业执照》； </w:t>
      </w:r>
    </w:p>
    <w:p w14:paraId="6CC0520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29170685">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2.3投标人须符合《资格预审必要合格条件标准》；</w:t>
      </w:r>
    </w:p>
    <w:p w14:paraId="7361F674">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2.4投标人在本项目涉及的相关行业有不良记录，以及曾为招标人提供相关服务但被评估为不合格或存在不良履约记录的，其投标将被拒绝。</w:t>
      </w:r>
      <w:bookmarkEnd w:id="2"/>
    </w:p>
    <w:p w14:paraId="5773FD8C">
      <w:pPr>
        <w:pStyle w:val="8"/>
        <w:shd w:val="clear" w:color="auto" w:fill="FFFFFF"/>
        <w:spacing w:before="0" w:beforeAutospacing="0" w:after="0" w:afterAutospacing="0" w:line="480" w:lineRule="atLeast"/>
        <w:ind w:firstLine="562"/>
        <w:rPr>
          <w:rFonts w:ascii="仿宋" w:hAnsi="仿宋" w:eastAsia="仿宋"/>
          <w:b/>
          <w:bCs/>
          <w:sz w:val="28"/>
          <w:szCs w:val="28"/>
        </w:rPr>
      </w:pPr>
      <w:r>
        <w:rPr>
          <w:rFonts w:hint="eastAsia" w:ascii="仿宋" w:hAnsi="仿宋" w:eastAsia="仿宋"/>
          <w:b/>
          <w:bCs/>
          <w:sz w:val="28"/>
          <w:szCs w:val="28"/>
        </w:rPr>
        <w:t>三、投标保证金</w:t>
      </w:r>
    </w:p>
    <w:p w14:paraId="2C92F4E8">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3.1 投标保证金：投标保证金：¥2万元（人民币大写：贰万元整）。投标人可在收到招标文件且确认参标后，在规定时间内上传保证金缴纳凭证。投标人以网银转账或电汇方式缴纳至招标人指定账户，转账需备注“舍司招(2025)-ZC3-36-投标保证金”，投标保证金缴纳后登陆舍得酒业招采数字化平台（网址：https://ssrm.shede.com.cn）点击页面顶部“一链网”，在截止时间前上传转账凭证。</w:t>
      </w:r>
    </w:p>
    <w:p w14:paraId="0E60A269">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保证金缴纳凭证上传截止时间：2025年10月15日下午16:00前</w:t>
      </w:r>
    </w:p>
    <w:p w14:paraId="1F38C9F7">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投标保证金凭证上传时间截止且经系统确认后，投标人方可递交投标文件。</w:t>
      </w:r>
    </w:p>
    <w:p w14:paraId="0F583A8F">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3.2 投标保证金交纳账户信息如下：</w:t>
      </w:r>
    </w:p>
    <w:p w14:paraId="4409F950">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开户单位：四川沱牌舍得营销有限公司</w:t>
      </w:r>
    </w:p>
    <w:p w14:paraId="2D80347D">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开户银行：中国建设银行股份有限公司射洪支行 </w:t>
      </w:r>
    </w:p>
    <w:p w14:paraId="38468850">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银行帐号：51050167710800000087。</w:t>
      </w:r>
    </w:p>
    <w:p w14:paraId="171E3491">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3.3保证金退还：​​</w:t>
      </w:r>
    </w:p>
    <w:p w14:paraId="759E946F">
      <w:pPr>
        <w:pStyle w:val="8"/>
        <w:shd w:val="clear" w:color="auto" w:fill="FFFFFF"/>
        <w:spacing w:before="0" w:beforeAutospacing="0" w:after="0" w:afterAutospacing="0" w:line="480" w:lineRule="atLeast"/>
        <w:ind w:firstLine="562"/>
        <w:rPr>
          <w:rFonts w:hint="eastAsia" w:ascii="仿宋" w:hAnsi="仿宋" w:eastAsia="仿宋"/>
          <w:sz w:val="28"/>
          <w:szCs w:val="28"/>
          <w:lang w:val="en-US" w:eastAsia="zh-CN"/>
        </w:rPr>
      </w:pPr>
      <w:r>
        <w:rPr>
          <w:rFonts w:hint="eastAsia" w:ascii="仿宋" w:hAnsi="仿宋" w:eastAsia="仿宋"/>
          <w:sz w:val="28"/>
          <w:szCs w:val="28"/>
          <w:lang w:val="en-US" w:eastAsia="zh-CN"/>
        </w:rPr>
        <w:t>招标人最迟在书面合同签订后5日内向未中标的投标人退还投标保证金。中标方的投标保证金在双方签订对应中标合同后将由招标方直接转为履约保证金，履约保证金为人民币2万元。</w:t>
      </w:r>
    </w:p>
    <w:p w14:paraId="5AEB0C32">
      <w:pPr>
        <w:pStyle w:val="8"/>
        <w:shd w:val="clear" w:color="auto" w:fill="FFFFFF"/>
        <w:spacing w:before="0" w:beforeAutospacing="0" w:after="0" w:afterAutospacing="0" w:line="480" w:lineRule="atLeast"/>
        <w:ind w:firstLine="562"/>
        <w:rPr>
          <w:rFonts w:hint="default" w:ascii="仿宋" w:hAnsi="仿宋" w:eastAsia="仿宋" w:cstheme="minorBidi"/>
          <w:kern w:val="2"/>
          <w:sz w:val="28"/>
          <w:szCs w:val="28"/>
          <w:highlight w:val="none"/>
          <w:lang w:val="en-US" w:eastAsia="zh-CN"/>
        </w:rPr>
      </w:pPr>
      <w:r>
        <w:rPr>
          <w:rFonts w:hint="eastAsia" w:ascii="仿宋" w:hAnsi="仿宋" w:eastAsia="仿宋"/>
          <w:sz w:val="28"/>
          <w:szCs w:val="28"/>
          <w:lang w:val="en-US" w:eastAsia="zh-CN"/>
        </w:rPr>
        <w:t>若投标人有串标、围标、提供虚假证明材料、投标文件无法执行、中标入围后因投标人原因无法签订合同等违规行为，投标保证金根据本次招标的相关规定不予退还且不开具任何票据</w:t>
      </w:r>
      <w:r>
        <w:rPr>
          <w:rFonts w:hint="default" w:ascii="仿宋" w:hAnsi="仿宋" w:eastAsia="仿宋" w:cstheme="minorBidi"/>
          <w:kern w:val="2"/>
          <w:sz w:val="28"/>
          <w:szCs w:val="28"/>
          <w:highlight w:val="none"/>
          <w:lang w:val="en-US" w:eastAsia="zh-CN"/>
        </w:rPr>
        <w:t>。</w:t>
      </w:r>
    </w:p>
    <w:p w14:paraId="1FE5B0A6">
      <w:pPr>
        <w:adjustRightInd w:val="0"/>
        <w:snapToGrid w:val="0"/>
        <w:spacing w:line="360" w:lineRule="auto"/>
        <w:ind w:firstLine="562"/>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14:paraId="07145F2E">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4.1 联系人及方式</w:t>
      </w:r>
    </w:p>
    <w:p w14:paraId="2B6275FC">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①投标联系人：龚先生  电话 13628069183  09:30-17:30</w:t>
      </w:r>
    </w:p>
    <w:p w14:paraId="7C4ADD6F">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②报名截止时间:2025年10月11日中午12:00前</w:t>
      </w:r>
    </w:p>
    <w:p w14:paraId="4276ABDF">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4C65CB32">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未按照上述要求进行报名的均视为报名无效，报名截止后通过资格预审的投标人可获取招标文件并参加投标。</w:t>
      </w:r>
    </w:p>
    <w:p w14:paraId="3A872F5E">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4.2招标文件的获取方式</w:t>
      </w:r>
    </w:p>
    <w:p w14:paraId="45404320">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登陆舍得酒业招采数字化平台（网址： https://ssrm.shede.com.cn），点击页面顶部的“一链网”获取招标文件。</w:t>
      </w:r>
    </w:p>
    <w:p w14:paraId="44FB9AE7">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4.3时间安排：</w:t>
      </w:r>
    </w:p>
    <w:p w14:paraId="233B60CF">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本项目预计发标时间：2025年10月13日</w:t>
      </w:r>
    </w:p>
    <w:p w14:paraId="094B81BD">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保证金缴纳凭证上传截止时间：2025年10月15日下午16:00前</w:t>
      </w:r>
    </w:p>
    <w:p w14:paraId="3E81C1CD">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本项目预计回标时间：2025年10月17日</w:t>
      </w:r>
    </w:p>
    <w:p w14:paraId="23C807EF">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本项目预计开标时间：2025年10月20日</w:t>
      </w:r>
    </w:p>
    <w:p w14:paraId="5BDD6E95">
      <w:pPr>
        <w:adjustRightInd w:val="0"/>
        <w:snapToGrid w:val="0"/>
        <w:spacing w:line="360" w:lineRule="auto"/>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以上时间会根据项目的进度有所变动，以实际为准。</w:t>
      </w:r>
      <w:bookmarkEnd w:id="0"/>
    </w:p>
    <w:p w14:paraId="65DD2B05">
      <w:pPr>
        <w:adjustRightInd w:val="0"/>
        <w:snapToGrid w:val="0"/>
        <w:spacing w:line="360" w:lineRule="auto"/>
        <w:ind w:firstLine="562"/>
        <w:rPr>
          <w:rFonts w:hint="eastAsia" w:ascii="仿宋" w:hAnsi="仿宋" w:eastAsia="仿宋"/>
          <w:b/>
          <w:sz w:val="28"/>
          <w:szCs w:val="28"/>
        </w:rPr>
      </w:pPr>
      <w:r>
        <w:rPr>
          <w:rFonts w:hint="eastAsia" w:ascii="仿宋" w:hAnsi="仿宋" w:eastAsia="仿宋"/>
          <w:b/>
          <w:sz w:val="28"/>
          <w:szCs w:val="28"/>
        </w:rPr>
        <w:t>五、附件</w:t>
      </w:r>
    </w:p>
    <w:p w14:paraId="70C83A73">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附件一：资格预审必要合格条件标准</w:t>
      </w:r>
    </w:p>
    <w:p w14:paraId="4C775399">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cstheme="minorBidi"/>
          <w:kern w:val="2"/>
          <w:sz w:val="28"/>
          <w:szCs w:val="28"/>
          <w:lang w:val="en-US" w:eastAsia="zh-CN"/>
        </w:rPr>
        <w:t>附件二：投标预审资料提交模板（点击文章末尾下载）</w:t>
      </w:r>
    </w:p>
    <w:p w14:paraId="18CEFE4F">
      <w:pPr>
        <w:spacing w:line="360" w:lineRule="auto"/>
        <w:ind w:firstLine="640" w:firstLineChars="200"/>
        <w:jc w:val="right"/>
        <w:rPr>
          <w:rFonts w:hint="eastAsia" w:ascii="仿宋" w:hAnsi="仿宋" w:eastAsia="仿宋" w:cs="Times New Roman"/>
          <w:sz w:val="32"/>
          <w:szCs w:val="32"/>
        </w:rPr>
      </w:pPr>
      <w:r>
        <w:rPr>
          <w:rFonts w:hint="eastAsia" w:ascii="仿宋" w:hAnsi="仿宋" w:eastAsia="仿宋" w:cs="Times New Roman"/>
          <w:sz w:val="32"/>
          <w:szCs w:val="32"/>
        </w:rPr>
        <w:t>舍得酒业股份有限公司</w:t>
      </w:r>
    </w:p>
    <w:p w14:paraId="57FEDB7D">
      <w:pPr>
        <w:spacing w:line="360" w:lineRule="auto"/>
        <w:ind w:firstLine="640" w:firstLineChars="200"/>
        <w:jc w:val="right"/>
        <w:rPr>
          <w:rFonts w:hint="eastAsia" w:ascii="仿宋" w:hAnsi="仿宋" w:eastAsia="仿宋" w:cs="Times New Roman"/>
          <w:sz w:val="32"/>
          <w:szCs w:val="32"/>
        </w:rPr>
      </w:pPr>
      <w:r>
        <w:rPr>
          <w:rFonts w:hint="eastAsia" w:ascii="仿宋" w:hAnsi="仿宋" w:eastAsia="仿宋" w:cs="Times New Roman"/>
          <w:sz w:val="32"/>
          <w:szCs w:val="32"/>
        </w:rPr>
        <w:t>2025年</w:t>
      </w:r>
      <w:r>
        <w:rPr>
          <w:rFonts w:hint="eastAsia" w:ascii="仿宋" w:hAnsi="仿宋" w:eastAsia="仿宋" w:cs="Times New Roman"/>
          <w:sz w:val="32"/>
          <w:szCs w:val="32"/>
          <w:lang w:val="en-US" w:eastAsia="zh-CN"/>
        </w:rPr>
        <w:t>9</w:t>
      </w:r>
      <w:r>
        <w:rPr>
          <w:rFonts w:hint="eastAsia" w:ascii="仿宋" w:hAnsi="仿宋" w:eastAsia="仿宋" w:cs="Times New Roman"/>
          <w:sz w:val="32"/>
          <w:szCs w:val="32"/>
        </w:rPr>
        <w:t>月</w:t>
      </w:r>
      <w:r>
        <w:rPr>
          <w:rFonts w:hint="eastAsia" w:ascii="仿宋" w:hAnsi="仿宋" w:eastAsia="仿宋" w:cs="Times New Roman"/>
          <w:sz w:val="32"/>
          <w:szCs w:val="32"/>
          <w:lang w:val="en-US" w:eastAsia="zh-CN"/>
        </w:rPr>
        <w:t>29</w:t>
      </w:r>
      <w:r>
        <w:rPr>
          <w:rFonts w:hint="eastAsia" w:ascii="仿宋" w:hAnsi="仿宋" w:eastAsia="仿宋" w:cs="Times New Roman"/>
          <w:sz w:val="32"/>
          <w:szCs w:val="32"/>
        </w:rPr>
        <w:t>日</w:t>
      </w:r>
    </w:p>
    <w:p w14:paraId="66C93CEC">
      <w:pPr>
        <w:spacing w:line="360" w:lineRule="auto"/>
        <w:ind w:firstLine="640" w:firstLineChars="200"/>
        <w:jc w:val="right"/>
        <w:rPr>
          <w:rFonts w:hint="eastAsia" w:ascii="仿宋" w:hAnsi="仿宋" w:eastAsia="仿宋" w:cs="Times New Roman"/>
          <w:sz w:val="32"/>
          <w:szCs w:val="32"/>
        </w:rPr>
      </w:pPr>
    </w:p>
    <w:p w14:paraId="33113F93">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意见与建议</w:t>
      </w:r>
      <w:r>
        <w:rPr>
          <w:rFonts w:hint="eastAsia" w:ascii="仿宋" w:hAnsi="仿宋" w:eastAsia="仿宋"/>
          <w:sz w:val="28"/>
          <w:szCs w:val="28"/>
        </w:rPr>
        <w:fldChar w:fldCharType="begin"/>
      </w:r>
      <w:r>
        <w:rPr>
          <w:rFonts w:hint="eastAsia" w:ascii="仿宋" w:hAnsi="仿宋" w:eastAsia="仿宋"/>
          <w:sz w:val="28"/>
          <w:szCs w:val="28"/>
        </w:rPr>
        <w:instrText xml:space="preserve"> HYPERLINK "mailto:请发至邮箱：Smart-Procurement@tuopai.biz" </w:instrText>
      </w:r>
      <w:r>
        <w:rPr>
          <w:rFonts w:hint="eastAsia" w:ascii="仿宋" w:hAnsi="仿宋" w:eastAsia="仿宋"/>
          <w:sz w:val="28"/>
          <w:szCs w:val="28"/>
        </w:rPr>
        <w:fldChar w:fldCharType="separate"/>
      </w:r>
      <w:r>
        <w:rPr>
          <w:rFonts w:hint="eastAsia" w:ascii="仿宋" w:hAnsi="仿宋" w:eastAsia="仿宋"/>
          <w:sz w:val="28"/>
          <w:szCs w:val="28"/>
        </w:rPr>
        <w:t>请发至邮箱：Smart-Procurement@tuopai.biz</w:t>
      </w:r>
      <w:r>
        <w:rPr>
          <w:rFonts w:hint="eastAsia" w:ascii="仿宋" w:hAnsi="仿宋" w:eastAsia="仿宋"/>
          <w:sz w:val="28"/>
          <w:szCs w:val="28"/>
        </w:rPr>
        <w:fldChar w:fldCharType="end"/>
      </w:r>
    </w:p>
    <w:p w14:paraId="45DD5AB6">
      <w:pPr>
        <w:adjustRightInd w:val="0"/>
        <w:snapToGrid w:val="0"/>
        <w:spacing w:line="360" w:lineRule="auto"/>
        <w:ind w:firstLine="560"/>
        <w:rPr>
          <w:rFonts w:hint="eastAsia" w:ascii="仿宋" w:hAnsi="仿宋" w:eastAsia="仿宋"/>
          <w:sz w:val="28"/>
          <w:szCs w:val="28"/>
        </w:rPr>
      </w:pPr>
    </w:p>
    <w:p w14:paraId="2E0B33B6">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投诉电话：</w:t>
      </w:r>
    </w:p>
    <w:p w14:paraId="7ECB90EC">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风 控 部：18982588111    邮箱：fkzx@tuopai.biz</w:t>
      </w:r>
    </w:p>
    <w:p w14:paraId="6283BCB2">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招采中心：028-61863833-2</w:t>
      </w:r>
    </w:p>
    <w:p w14:paraId="0714FD6F"/>
    <w:p w14:paraId="054DF340"/>
    <w:p w14:paraId="1038ADB0">
      <w:pPr>
        <w:widowControl/>
        <w:spacing w:line="360" w:lineRule="auto"/>
        <w:ind w:firstLine="562"/>
        <w:jc w:val="left"/>
        <w:rPr>
          <w:rFonts w:ascii="仿宋" w:hAnsi="仿宋" w:eastAsia="仿宋"/>
          <w:b/>
          <w:sz w:val="28"/>
          <w:szCs w:val="28"/>
        </w:rPr>
      </w:pPr>
      <w:r>
        <w:rPr>
          <w:rFonts w:hint="eastAsia" w:ascii="仿宋" w:hAnsi="仿宋" w:eastAsia="仿宋"/>
          <w:b/>
          <w:sz w:val="28"/>
          <w:szCs w:val="28"/>
        </w:rPr>
        <w:t>附件一：</w:t>
      </w:r>
      <w:bookmarkStart w:id="3" w:name="_Hlk108623121"/>
      <w:r>
        <w:rPr>
          <w:rFonts w:ascii="仿宋" w:hAnsi="仿宋" w:eastAsia="仿宋"/>
          <w:b/>
          <w:sz w:val="28"/>
          <w:szCs w:val="28"/>
        </w:rPr>
        <w:t>资格预审必要合格条件标准</w:t>
      </w:r>
    </w:p>
    <w:tbl>
      <w:tblPr>
        <w:tblStyle w:val="10"/>
        <w:tblW w:w="9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666"/>
        <w:gridCol w:w="7127"/>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696C01FE">
            <w:pPr>
              <w:spacing w:line="360" w:lineRule="auto"/>
              <w:jc w:val="center"/>
              <w:rPr>
                <w:rFonts w:ascii="仿宋" w:hAnsi="仿宋" w:eastAsia="仿宋"/>
                <w:sz w:val="22"/>
                <w:szCs w:val="21"/>
              </w:rPr>
            </w:pPr>
            <w:r>
              <w:rPr>
                <w:rFonts w:ascii="仿宋" w:hAnsi="仿宋" w:eastAsia="仿宋"/>
                <w:sz w:val="22"/>
                <w:szCs w:val="21"/>
              </w:rPr>
              <w:t>序号</w:t>
            </w:r>
          </w:p>
        </w:tc>
        <w:tc>
          <w:tcPr>
            <w:tcW w:w="1666" w:type="dxa"/>
            <w:vAlign w:val="center"/>
          </w:tcPr>
          <w:p w14:paraId="6F954AEE">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7127" w:type="dxa"/>
            <w:vAlign w:val="center"/>
          </w:tcPr>
          <w:p w14:paraId="4D688E9C">
            <w:pPr>
              <w:spacing w:line="360" w:lineRule="auto"/>
              <w:jc w:val="center"/>
              <w:rPr>
                <w:rFonts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44C42161">
            <w:pPr>
              <w:spacing w:line="360" w:lineRule="auto"/>
              <w:jc w:val="center"/>
              <w:rPr>
                <w:rFonts w:ascii="仿宋" w:hAnsi="仿宋" w:eastAsia="仿宋"/>
                <w:sz w:val="22"/>
                <w:szCs w:val="21"/>
              </w:rPr>
            </w:pPr>
            <w:r>
              <w:rPr>
                <w:rFonts w:ascii="仿宋" w:hAnsi="仿宋" w:eastAsia="仿宋"/>
                <w:sz w:val="22"/>
                <w:szCs w:val="21"/>
              </w:rPr>
              <w:t>1</w:t>
            </w:r>
          </w:p>
        </w:tc>
        <w:tc>
          <w:tcPr>
            <w:tcW w:w="1666" w:type="dxa"/>
            <w:vAlign w:val="center"/>
          </w:tcPr>
          <w:p w14:paraId="33415A16">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7127" w:type="dxa"/>
            <w:vAlign w:val="center"/>
          </w:tcPr>
          <w:p w14:paraId="6D29BB48">
            <w:pPr>
              <w:spacing w:line="360" w:lineRule="auto"/>
              <w:jc w:val="left"/>
              <w:rPr>
                <w:rFonts w:ascii="仿宋" w:hAnsi="仿宋" w:eastAsia="仿宋"/>
                <w:sz w:val="22"/>
                <w:szCs w:val="21"/>
              </w:rPr>
            </w:pPr>
            <w:r>
              <w:rPr>
                <w:rFonts w:hint="eastAsia" w:ascii="仿宋" w:hAnsi="仿宋" w:eastAsia="仿宋"/>
                <w:sz w:val="22"/>
                <w:szCs w:val="21"/>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6" w:hRule="atLeast"/>
          <w:jc w:val="center"/>
        </w:trPr>
        <w:tc>
          <w:tcPr>
            <w:tcW w:w="1076" w:type="dxa"/>
            <w:vAlign w:val="center"/>
          </w:tcPr>
          <w:p w14:paraId="0226ABD9">
            <w:pPr>
              <w:spacing w:line="360" w:lineRule="auto"/>
              <w:jc w:val="center"/>
              <w:rPr>
                <w:rFonts w:ascii="仿宋" w:hAnsi="仿宋" w:eastAsia="仿宋"/>
                <w:sz w:val="22"/>
                <w:szCs w:val="21"/>
              </w:rPr>
            </w:pPr>
            <w:r>
              <w:rPr>
                <w:rFonts w:ascii="仿宋" w:hAnsi="仿宋" w:eastAsia="仿宋"/>
                <w:sz w:val="22"/>
                <w:szCs w:val="21"/>
              </w:rPr>
              <w:t>2</w:t>
            </w:r>
          </w:p>
        </w:tc>
        <w:tc>
          <w:tcPr>
            <w:tcW w:w="1666" w:type="dxa"/>
            <w:vAlign w:val="center"/>
          </w:tcPr>
          <w:p w14:paraId="209B5D74">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7127"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00万元，具有良好银行资信和商业信誉。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jc w:val="center"/>
              <w:rPr>
                <w:rFonts w:ascii="仿宋" w:hAnsi="仿宋" w:eastAsia="仿宋"/>
                <w:sz w:val="22"/>
                <w:szCs w:val="21"/>
              </w:rPr>
            </w:pPr>
            <w:r>
              <w:rPr>
                <w:rFonts w:ascii="仿宋" w:hAnsi="仿宋" w:eastAsia="仿宋"/>
                <w:sz w:val="22"/>
                <w:szCs w:val="21"/>
              </w:rPr>
              <w:t>3</w:t>
            </w:r>
          </w:p>
        </w:tc>
        <w:tc>
          <w:tcPr>
            <w:tcW w:w="1666" w:type="dxa"/>
            <w:vAlign w:val="center"/>
          </w:tcPr>
          <w:p w14:paraId="2D4169B8">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7127" w:type="dxa"/>
            <w:vAlign w:val="center"/>
          </w:tcPr>
          <w:p w14:paraId="418191E8">
            <w:pPr>
              <w:spacing w:line="360" w:lineRule="auto"/>
              <w:jc w:val="left"/>
              <w:rPr>
                <w:rFonts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1666" w:type="dxa"/>
            <w:vAlign w:val="center"/>
          </w:tcPr>
          <w:p w14:paraId="28A7BCA1">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7127" w:type="dxa"/>
            <w:vAlign w:val="center"/>
          </w:tcPr>
          <w:p w14:paraId="45FC2DAD">
            <w:pPr>
              <w:widowControl/>
              <w:spacing w:line="360" w:lineRule="auto"/>
              <w:jc w:val="left"/>
              <w:rPr>
                <w:rFonts w:ascii="仿宋" w:hAnsi="仿宋" w:eastAsia="仿宋" w:cs="宋体"/>
                <w:kern w:val="0"/>
                <w:sz w:val="22"/>
                <w:szCs w:val="21"/>
              </w:rPr>
            </w:pPr>
            <w:r>
              <w:rPr>
                <w:rFonts w:hint="eastAsia" w:ascii="仿宋" w:hAnsi="仿宋" w:eastAsia="仿宋" w:cs="宋体"/>
                <w:kern w:val="0"/>
                <w:sz w:val="22"/>
                <w:szCs w:val="21"/>
              </w:rPr>
              <w:t>应具备</w:t>
            </w:r>
            <w:r>
              <w:rPr>
                <w:rFonts w:hint="eastAsia" w:ascii="仿宋" w:hAnsi="仿宋" w:eastAsia="仿宋" w:cs="宋体"/>
                <w:color w:val="000000" w:themeColor="text1"/>
                <w:kern w:val="0"/>
                <w:sz w:val="22"/>
                <w:szCs w:val="21"/>
                <w14:textFill>
                  <w14:solidFill>
                    <w14:schemeClr w14:val="tx1"/>
                  </w14:solidFill>
                </w14:textFill>
              </w:rPr>
              <w:t>电商营销及程序化广告投放服务经验</w:t>
            </w:r>
            <w:r>
              <w:rPr>
                <w:rFonts w:hint="eastAsia" w:ascii="仿宋" w:hAnsi="仿宋" w:eastAsia="仿宋" w:cs="宋体"/>
                <w:kern w:val="0"/>
                <w:sz w:val="22"/>
                <w:szCs w:val="21"/>
              </w:rPr>
              <w:t>，能提供202</w:t>
            </w:r>
            <w:r>
              <w:rPr>
                <w:rFonts w:hint="eastAsia" w:ascii="仿宋" w:hAnsi="仿宋" w:eastAsia="仿宋" w:cs="宋体"/>
                <w:kern w:val="0"/>
                <w:sz w:val="22"/>
                <w:szCs w:val="21"/>
                <w:lang w:val="en-US" w:eastAsia="zh-CN"/>
              </w:rPr>
              <w:t>2</w:t>
            </w:r>
            <w:r>
              <w:rPr>
                <w:rFonts w:hint="eastAsia" w:ascii="仿宋" w:hAnsi="仿宋" w:eastAsia="仿宋" w:cs="宋体"/>
                <w:kern w:val="0"/>
                <w:sz w:val="22"/>
                <w:szCs w:val="21"/>
              </w:rPr>
              <w:t>年至今，不少于2例</w:t>
            </w:r>
            <w:r>
              <w:rPr>
                <w:rFonts w:hint="eastAsia" w:ascii="仿宋" w:hAnsi="仿宋" w:eastAsia="仿宋" w:cs="宋体"/>
                <w:color w:val="000000" w:themeColor="text1"/>
                <w:kern w:val="0"/>
                <w:sz w:val="22"/>
                <w:szCs w:val="21"/>
                <w14:textFill>
                  <w14:solidFill>
                    <w14:schemeClr w14:val="tx1"/>
                  </w14:solidFill>
                </w14:textFill>
              </w:rPr>
              <w:t>与本项目相关的程序化广告投放服务案例合同</w:t>
            </w:r>
            <w:r>
              <w:rPr>
                <w:rFonts w:hint="eastAsia" w:ascii="仿宋" w:hAnsi="仿宋" w:eastAsia="仿宋" w:cs="宋体"/>
                <w:kern w:val="0"/>
                <w:sz w:val="22"/>
                <w:szCs w:val="21"/>
              </w:rPr>
              <w:t>，单个案例合同金额不少于100万元，</w:t>
            </w:r>
            <w:r>
              <w:rPr>
                <w:rFonts w:hint="eastAsia" w:ascii="仿宋" w:hAnsi="仿宋" w:eastAsia="仿宋" w:cs="宋体"/>
                <w:color w:val="000000" w:themeColor="text1"/>
                <w:kern w:val="0"/>
                <w:sz w:val="22"/>
                <w:szCs w:val="21"/>
                <w14:textFill>
                  <w14:solidFill>
                    <w14:schemeClr w14:val="tx1"/>
                  </w14:solidFill>
                </w14:textFill>
              </w:rPr>
              <w:t>服务过国内外知名品牌，酒类饮品优先，</w:t>
            </w:r>
            <w:r>
              <w:rPr>
                <w:rFonts w:hint="eastAsia" w:ascii="仿宋" w:hAnsi="仿宋" w:eastAsia="仿宋" w:cs="宋体"/>
                <w:kern w:val="0"/>
                <w:sz w:val="22"/>
                <w:szCs w:val="21"/>
              </w:rPr>
              <w:t>需提供合同关键页扫描件证明（甲乙方名称及双方盖章可见，合同主要内容概述、金额、时间可见，须提供合同发票及广告投放后台截图）。</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1666" w:type="dxa"/>
            <w:vAlign w:val="center"/>
          </w:tcPr>
          <w:p w14:paraId="75352887">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7127" w:type="dxa"/>
            <w:vAlign w:val="center"/>
          </w:tcPr>
          <w:p w14:paraId="1360BCF4">
            <w:pPr>
              <w:widowControl/>
              <w:spacing w:line="360" w:lineRule="auto"/>
              <w:jc w:val="left"/>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34DC7D65">
      <w:pPr>
        <w:ind w:firstLine="400"/>
        <w:rPr>
          <w:sz w:val="20"/>
          <w:szCs w:val="21"/>
        </w:rPr>
      </w:pPr>
    </w:p>
    <w:bookmarkEnd w:id="3"/>
    <w:p w14:paraId="09C35CB2">
      <w:pPr>
        <w:spacing w:line="360" w:lineRule="auto"/>
        <w:ind w:left="440" w:leftChars="-2" w:hanging="444" w:hangingChars="202"/>
        <w:jc w:val="left"/>
        <w:rPr>
          <w:rFonts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26C7BED8">
      <w:pPr>
        <w:spacing w:line="360" w:lineRule="auto"/>
        <w:ind w:firstLine="440"/>
        <w:jc w:val="left"/>
        <w:rPr>
          <w:rFonts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7ACCD31D">
      <w:pPr>
        <w:pStyle w:val="8"/>
        <w:shd w:val="clear" w:color="auto" w:fill="FFFFFF"/>
        <w:spacing w:before="0" w:beforeAutospacing="0" w:after="0" w:afterAutospacing="0" w:line="480" w:lineRule="atLeast"/>
        <w:ind w:firstLine="562"/>
        <w:rPr>
          <w:rFonts w:hint="eastAsia" w:ascii="仿宋" w:hAnsi="仿宋" w:eastAsia="仿宋" w:cstheme="minorBidi"/>
          <w:kern w:val="2"/>
          <w:sz w:val="28"/>
          <w:szCs w:val="28"/>
          <w:lang w:val="en-US" w:eastAsia="zh-CN"/>
        </w:rPr>
      </w:pPr>
      <w:r>
        <w:rPr>
          <w:rFonts w:hint="eastAsia" w:ascii="仿宋" w:hAnsi="仿宋" w:eastAsia="仿宋"/>
          <w:sz w:val="22"/>
          <w:szCs w:val="21"/>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A10C5F"/>
    <w:rsid w:val="00022602"/>
    <w:rsid w:val="0003556D"/>
    <w:rsid w:val="00042750"/>
    <w:rsid w:val="00045065"/>
    <w:rsid w:val="000451D5"/>
    <w:rsid w:val="00045469"/>
    <w:rsid w:val="00047349"/>
    <w:rsid w:val="00047A6E"/>
    <w:rsid w:val="00082DC9"/>
    <w:rsid w:val="00096B45"/>
    <w:rsid w:val="000A06B1"/>
    <w:rsid w:val="000A1332"/>
    <w:rsid w:val="000A21AC"/>
    <w:rsid w:val="000B0EFD"/>
    <w:rsid w:val="000C16BE"/>
    <w:rsid w:val="000C1ED5"/>
    <w:rsid w:val="000C5209"/>
    <w:rsid w:val="000D07B2"/>
    <w:rsid w:val="000D3E6D"/>
    <w:rsid w:val="000E3665"/>
    <w:rsid w:val="001014D8"/>
    <w:rsid w:val="001043E4"/>
    <w:rsid w:val="00114202"/>
    <w:rsid w:val="0015468D"/>
    <w:rsid w:val="001710E7"/>
    <w:rsid w:val="001761E8"/>
    <w:rsid w:val="00182A51"/>
    <w:rsid w:val="001A1F77"/>
    <w:rsid w:val="001B1D2F"/>
    <w:rsid w:val="001B7BCE"/>
    <w:rsid w:val="001E0868"/>
    <w:rsid w:val="001F523D"/>
    <w:rsid w:val="00223156"/>
    <w:rsid w:val="00246B39"/>
    <w:rsid w:val="002659CA"/>
    <w:rsid w:val="00273539"/>
    <w:rsid w:val="00274C5A"/>
    <w:rsid w:val="00274E1F"/>
    <w:rsid w:val="00280E8E"/>
    <w:rsid w:val="00283F4E"/>
    <w:rsid w:val="0028629E"/>
    <w:rsid w:val="0028641B"/>
    <w:rsid w:val="002B0580"/>
    <w:rsid w:val="002D71CB"/>
    <w:rsid w:val="002E0333"/>
    <w:rsid w:val="002E4BF4"/>
    <w:rsid w:val="002F0E5F"/>
    <w:rsid w:val="003179A0"/>
    <w:rsid w:val="0032467E"/>
    <w:rsid w:val="00353A04"/>
    <w:rsid w:val="00355CBA"/>
    <w:rsid w:val="003609B9"/>
    <w:rsid w:val="00377341"/>
    <w:rsid w:val="00390AAA"/>
    <w:rsid w:val="00394DC3"/>
    <w:rsid w:val="0039547B"/>
    <w:rsid w:val="003A72DE"/>
    <w:rsid w:val="003C3081"/>
    <w:rsid w:val="003C562E"/>
    <w:rsid w:val="00422D4E"/>
    <w:rsid w:val="0049108B"/>
    <w:rsid w:val="004A7F6F"/>
    <w:rsid w:val="004C1911"/>
    <w:rsid w:val="004C5D0C"/>
    <w:rsid w:val="004D14EE"/>
    <w:rsid w:val="004D6F3F"/>
    <w:rsid w:val="005038EA"/>
    <w:rsid w:val="0050590C"/>
    <w:rsid w:val="00512840"/>
    <w:rsid w:val="00521E3F"/>
    <w:rsid w:val="005549ED"/>
    <w:rsid w:val="00555601"/>
    <w:rsid w:val="00562348"/>
    <w:rsid w:val="005712C9"/>
    <w:rsid w:val="00591922"/>
    <w:rsid w:val="00592C55"/>
    <w:rsid w:val="005D4245"/>
    <w:rsid w:val="005D6CE2"/>
    <w:rsid w:val="005E44B3"/>
    <w:rsid w:val="005F23CF"/>
    <w:rsid w:val="005F2B0C"/>
    <w:rsid w:val="005F3188"/>
    <w:rsid w:val="006418FE"/>
    <w:rsid w:val="006532F0"/>
    <w:rsid w:val="00664774"/>
    <w:rsid w:val="00681D1F"/>
    <w:rsid w:val="00692739"/>
    <w:rsid w:val="0069353A"/>
    <w:rsid w:val="0069408F"/>
    <w:rsid w:val="00694B1C"/>
    <w:rsid w:val="006A4521"/>
    <w:rsid w:val="006C63B4"/>
    <w:rsid w:val="006D2CA9"/>
    <w:rsid w:val="006E2CF4"/>
    <w:rsid w:val="006F3EE6"/>
    <w:rsid w:val="006F428E"/>
    <w:rsid w:val="006F6545"/>
    <w:rsid w:val="00712C31"/>
    <w:rsid w:val="007504D8"/>
    <w:rsid w:val="00753CA2"/>
    <w:rsid w:val="00771B65"/>
    <w:rsid w:val="00782D67"/>
    <w:rsid w:val="00791306"/>
    <w:rsid w:val="007E128D"/>
    <w:rsid w:val="007E3D20"/>
    <w:rsid w:val="007F4C2F"/>
    <w:rsid w:val="00812A7A"/>
    <w:rsid w:val="00855DE6"/>
    <w:rsid w:val="008663E4"/>
    <w:rsid w:val="00873BE6"/>
    <w:rsid w:val="00880C5B"/>
    <w:rsid w:val="00880D2F"/>
    <w:rsid w:val="00881E79"/>
    <w:rsid w:val="00882323"/>
    <w:rsid w:val="008D138C"/>
    <w:rsid w:val="009131F8"/>
    <w:rsid w:val="0092408C"/>
    <w:rsid w:val="00930408"/>
    <w:rsid w:val="00943B3B"/>
    <w:rsid w:val="0095027C"/>
    <w:rsid w:val="00972E81"/>
    <w:rsid w:val="009809F4"/>
    <w:rsid w:val="00982E0A"/>
    <w:rsid w:val="009A1810"/>
    <w:rsid w:val="009C77E6"/>
    <w:rsid w:val="009F3508"/>
    <w:rsid w:val="00A10C5F"/>
    <w:rsid w:val="00A16833"/>
    <w:rsid w:val="00A21AF4"/>
    <w:rsid w:val="00A25011"/>
    <w:rsid w:val="00A34333"/>
    <w:rsid w:val="00A3731A"/>
    <w:rsid w:val="00A50ECF"/>
    <w:rsid w:val="00A536D5"/>
    <w:rsid w:val="00A76A4E"/>
    <w:rsid w:val="00A860CE"/>
    <w:rsid w:val="00AA13D2"/>
    <w:rsid w:val="00AA3E31"/>
    <w:rsid w:val="00AA76FE"/>
    <w:rsid w:val="00AB054B"/>
    <w:rsid w:val="00AD400C"/>
    <w:rsid w:val="00B12121"/>
    <w:rsid w:val="00B328D4"/>
    <w:rsid w:val="00B37CCE"/>
    <w:rsid w:val="00B53DA0"/>
    <w:rsid w:val="00B55C8D"/>
    <w:rsid w:val="00B736ED"/>
    <w:rsid w:val="00B7661A"/>
    <w:rsid w:val="00BA167D"/>
    <w:rsid w:val="00BB7737"/>
    <w:rsid w:val="00BC05AF"/>
    <w:rsid w:val="00BD296A"/>
    <w:rsid w:val="00BD523D"/>
    <w:rsid w:val="00BE3D32"/>
    <w:rsid w:val="00C14DDD"/>
    <w:rsid w:val="00C24F0F"/>
    <w:rsid w:val="00C4582D"/>
    <w:rsid w:val="00C46669"/>
    <w:rsid w:val="00C57AF9"/>
    <w:rsid w:val="00C701CC"/>
    <w:rsid w:val="00C92243"/>
    <w:rsid w:val="00CA68E2"/>
    <w:rsid w:val="00CB7C17"/>
    <w:rsid w:val="00CC4C45"/>
    <w:rsid w:val="00CF3712"/>
    <w:rsid w:val="00CF5A75"/>
    <w:rsid w:val="00D03026"/>
    <w:rsid w:val="00D4686F"/>
    <w:rsid w:val="00D67B54"/>
    <w:rsid w:val="00DA7C9A"/>
    <w:rsid w:val="00DD21A2"/>
    <w:rsid w:val="00DD72B7"/>
    <w:rsid w:val="00E21C27"/>
    <w:rsid w:val="00E30BB1"/>
    <w:rsid w:val="00E332A4"/>
    <w:rsid w:val="00E55AA6"/>
    <w:rsid w:val="00EA0466"/>
    <w:rsid w:val="00EA1A6C"/>
    <w:rsid w:val="00EB5A84"/>
    <w:rsid w:val="00EC5656"/>
    <w:rsid w:val="00ED1A5C"/>
    <w:rsid w:val="00ED6443"/>
    <w:rsid w:val="00EE2236"/>
    <w:rsid w:val="00EE2DAF"/>
    <w:rsid w:val="00EF54EC"/>
    <w:rsid w:val="00F07A7F"/>
    <w:rsid w:val="00F27BE5"/>
    <w:rsid w:val="00F37DAA"/>
    <w:rsid w:val="00F4077F"/>
    <w:rsid w:val="00F47B6D"/>
    <w:rsid w:val="00F5182B"/>
    <w:rsid w:val="00F51CF6"/>
    <w:rsid w:val="00F53FE2"/>
    <w:rsid w:val="00F60B0E"/>
    <w:rsid w:val="00F63948"/>
    <w:rsid w:val="00F673D9"/>
    <w:rsid w:val="00F67A15"/>
    <w:rsid w:val="00F75006"/>
    <w:rsid w:val="00F86D33"/>
    <w:rsid w:val="00FC142B"/>
    <w:rsid w:val="00FD3EEE"/>
    <w:rsid w:val="00FE0906"/>
    <w:rsid w:val="01B172D7"/>
    <w:rsid w:val="01F96F34"/>
    <w:rsid w:val="024E74F6"/>
    <w:rsid w:val="02A57365"/>
    <w:rsid w:val="03CD7EF4"/>
    <w:rsid w:val="03E27800"/>
    <w:rsid w:val="04B96861"/>
    <w:rsid w:val="05EB081E"/>
    <w:rsid w:val="067907A7"/>
    <w:rsid w:val="06F90FFA"/>
    <w:rsid w:val="07830ACB"/>
    <w:rsid w:val="092774EF"/>
    <w:rsid w:val="093C5200"/>
    <w:rsid w:val="0A136D35"/>
    <w:rsid w:val="0C5E1C92"/>
    <w:rsid w:val="0C5E579E"/>
    <w:rsid w:val="0CD90B9D"/>
    <w:rsid w:val="0E552547"/>
    <w:rsid w:val="10046446"/>
    <w:rsid w:val="102D1F8D"/>
    <w:rsid w:val="10A95881"/>
    <w:rsid w:val="10D30AD5"/>
    <w:rsid w:val="113E0762"/>
    <w:rsid w:val="137D41F7"/>
    <w:rsid w:val="13BD3E54"/>
    <w:rsid w:val="14796923"/>
    <w:rsid w:val="14E87BEE"/>
    <w:rsid w:val="150733D9"/>
    <w:rsid w:val="17746151"/>
    <w:rsid w:val="177763D6"/>
    <w:rsid w:val="18553E55"/>
    <w:rsid w:val="18D66DB0"/>
    <w:rsid w:val="196C40C9"/>
    <w:rsid w:val="1B6D022C"/>
    <w:rsid w:val="1BEF52C4"/>
    <w:rsid w:val="1C25555D"/>
    <w:rsid w:val="1C3B1F1C"/>
    <w:rsid w:val="1DDF5150"/>
    <w:rsid w:val="1E150A2C"/>
    <w:rsid w:val="1ECA419F"/>
    <w:rsid w:val="2039253E"/>
    <w:rsid w:val="2183244F"/>
    <w:rsid w:val="21AE218C"/>
    <w:rsid w:val="223E0747"/>
    <w:rsid w:val="22587113"/>
    <w:rsid w:val="22BA045E"/>
    <w:rsid w:val="22D368D8"/>
    <w:rsid w:val="23224386"/>
    <w:rsid w:val="23906919"/>
    <w:rsid w:val="2416718D"/>
    <w:rsid w:val="255F438D"/>
    <w:rsid w:val="25740E92"/>
    <w:rsid w:val="265A021C"/>
    <w:rsid w:val="268642F3"/>
    <w:rsid w:val="26B76168"/>
    <w:rsid w:val="27986C03"/>
    <w:rsid w:val="28E23790"/>
    <w:rsid w:val="29974701"/>
    <w:rsid w:val="299D1A48"/>
    <w:rsid w:val="2A0C6B09"/>
    <w:rsid w:val="2A1927CF"/>
    <w:rsid w:val="2A7B7321"/>
    <w:rsid w:val="2B8F74B6"/>
    <w:rsid w:val="2BA7738C"/>
    <w:rsid w:val="2D0C0B5D"/>
    <w:rsid w:val="2EE71329"/>
    <w:rsid w:val="2F674FC2"/>
    <w:rsid w:val="300F1FF9"/>
    <w:rsid w:val="30566085"/>
    <w:rsid w:val="31A658E6"/>
    <w:rsid w:val="31CC7E4A"/>
    <w:rsid w:val="326A337C"/>
    <w:rsid w:val="350E7BAD"/>
    <w:rsid w:val="36B05734"/>
    <w:rsid w:val="3A691D31"/>
    <w:rsid w:val="3AB87F27"/>
    <w:rsid w:val="3B8509DB"/>
    <w:rsid w:val="3B9B7585"/>
    <w:rsid w:val="3DA319AD"/>
    <w:rsid w:val="3DB122E7"/>
    <w:rsid w:val="3E4217E5"/>
    <w:rsid w:val="4006733E"/>
    <w:rsid w:val="40CE20FB"/>
    <w:rsid w:val="40F7128F"/>
    <w:rsid w:val="42992DE0"/>
    <w:rsid w:val="43317153"/>
    <w:rsid w:val="437C2E8C"/>
    <w:rsid w:val="43896012"/>
    <w:rsid w:val="439216E8"/>
    <w:rsid w:val="43AB4066"/>
    <w:rsid w:val="43D134B3"/>
    <w:rsid w:val="442962A2"/>
    <w:rsid w:val="459F064A"/>
    <w:rsid w:val="462D37C9"/>
    <w:rsid w:val="470A110B"/>
    <w:rsid w:val="488C6ADC"/>
    <w:rsid w:val="490F180B"/>
    <w:rsid w:val="499E503D"/>
    <w:rsid w:val="4A92083C"/>
    <w:rsid w:val="4AAB2973"/>
    <w:rsid w:val="4B0815A7"/>
    <w:rsid w:val="4B0959E2"/>
    <w:rsid w:val="4C7C008C"/>
    <w:rsid w:val="4C8A5D4C"/>
    <w:rsid w:val="4FA55285"/>
    <w:rsid w:val="513E68CC"/>
    <w:rsid w:val="534053B7"/>
    <w:rsid w:val="53EC68D0"/>
    <w:rsid w:val="546A7D01"/>
    <w:rsid w:val="55FE36B7"/>
    <w:rsid w:val="56C92575"/>
    <w:rsid w:val="57693A9B"/>
    <w:rsid w:val="577E1716"/>
    <w:rsid w:val="57C27A1D"/>
    <w:rsid w:val="587A7F42"/>
    <w:rsid w:val="58994CB1"/>
    <w:rsid w:val="594927E7"/>
    <w:rsid w:val="594E4D8F"/>
    <w:rsid w:val="5B4238B3"/>
    <w:rsid w:val="5B5B01E2"/>
    <w:rsid w:val="5C756BB2"/>
    <w:rsid w:val="5CA509CB"/>
    <w:rsid w:val="5CA94516"/>
    <w:rsid w:val="5D704F4C"/>
    <w:rsid w:val="604F4E8B"/>
    <w:rsid w:val="60A923F3"/>
    <w:rsid w:val="61397812"/>
    <w:rsid w:val="61B0339A"/>
    <w:rsid w:val="62623A6B"/>
    <w:rsid w:val="63625D21"/>
    <w:rsid w:val="66082072"/>
    <w:rsid w:val="662C12B2"/>
    <w:rsid w:val="665030C4"/>
    <w:rsid w:val="66CA629A"/>
    <w:rsid w:val="67C658D2"/>
    <w:rsid w:val="69496543"/>
    <w:rsid w:val="6B264A3A"/>
    <w:rsid w:val="6C4A33DF"/>
    <w:rsid w:val="6C68589C"/>
    <w:rsid w:val="6D6C77C4"/>
    <w:rsid w:val="6E2E43D5"/>
    <w:rsid w:val="6EC7750E"/>
    <w:rsid w:val="722F393D"/>
    <w:rsid w:val="72E34B94"/>
    <w:rsid w:val="740851E0"/>
    <w:rsid w:val="747D1B7D"/>
    <w:rsid w:val="74F205F2"/>
    <w:rsid w:val="755727FB"/>
    <w:rsid w:val="765673B1"/>
    <w:rsid w:val="777C59E3"/>
    <w:rsid w:val="78B05378"/>
    <w:rsid w:val="792B06D7"/>
    <w:rsid w:val="79481D63"/>
    <w:rsid w:val="79587C6F"/>
    <w:rsid w:val="79652BD2"/>
    <w:rsid w:val="7B817AF6"/>
    <w:rsid w:val="7BAC3BA5"/>
    <w:rsid w:val="7C576EA1"/>
    <w:rsid w:val="7CBF5CDA"/>
    <w:rsid w:val="7CE146B7"/>
    <w:rsid w:val="7E74194A"/>
    <w:rsid w:val="7EAE4115"/>
    <w:rsid w:val="7ECB1EA2"/>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Comment Text Char"/>
    <w:basedOn w:val="12"/>
    <w:link w:val="4"/>
    <w:autoRedefine/>
    <w:qFormat/>
    <w:uiPriority w:val="0"/>
    <w:rPr>
      <w:rFonts w:asciiTheme="minorHAnsi" w:hAnsiTheme="minorHAnsi" w:eastAsiaTheme="minorEastAsia" w:cstheme="minorBidi"/>
      <w:kern w:val="2"/>
      <w:sz w:val="21"/>
      <w:szCs w:val="22"/>
    </w:rPr>
  </w:style>
  <w:style w:type="character" w:customStyle="1" w:styleId="24">
    <w:name w:val="Comment Subject Char"/>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2347</Words>
  <Characters>2699</Characters>
  <Lines>132</Lines>
  <Paragraphs>37</Paragraphs>
  <TotalTime>3</TotalTime>
  <ScaleCrop>false</ScaleCrop>
  <LinksUpToDate>false</LinksUpToDate>
  <CharactersWithSpaces>2730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shede GQL</cp:lastModifiedBy>
  <dcterms:modified xsi:type="dcterms:W3CDTF">2025-09-29T06:16:35Z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D8DA6EF6AB2D43B88F2CAE24A27205AD_13</vt:lpwstr>
  </property>
  <property fmtid="{D5CDD505-2E9C-101B-9397-08002B2CF9AE}" pid="4" name="KSOTemplateDocerSaveRecord">
    <vt:lpwstr>eyJoZGlkIjoiOWE1MjMwZWU1ZjkyYWZmNWU5ZjU2YTllNjQxYmQxMTUiLCJ1c2VySWQiOiIzMDU0MzE5ODYifQ==</vt:lpwstr>
  </property>
</Properties>
</file>