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9B205">
      <w:pPr>
        <w:pStyle w:val="76"/>
        <w:spacing w:line="360" w:lineRule="auto"/>
        <w:jc w:val="center"/>
        <w:rPr>
          <w:rFonts w:hint="eastAsia" w:ascii="宋体" w:hAnsi="宋体" w:eastAsia="宋体" w:cs="宋体"/>
          <w:b/>
          <w:bCs/>
          <w:caps w:val="0"/>
          <w:color w:val="auto"/>
          <w:sz w:val="32"/>
          <w:szCs w:val="32"/>
          <w:highlight w:val="none"/>
        </w:rPr>
      </w:pPr>
      <w:bookmarkStart w:id="0" w:name="_Toc22511"/>
      <w:r>
        <w:rPr>
          <w:rFonts w:hint="eastAsia" w:ascii="宋体" w:hAnsi="宋体" w:eastAsia="宋体" w:cs="宋体"/>
          <w:b/>
          <w:bCs/>
          <w:caps w:val="0"/>
          <w:color w:val="auto"/>
          <w:sz w:val="32"/>
          <w:szCs w:val="32"/>
          <w:highlight w:val="none"/>
        </w:rPr>
        <w:t>舍得酒业股份有限公司</w:t>
      </w:r>
    </w:p>
    <w:p w14:paraId="505772E1">
      <w:pPr>
        <w:spacing w:line="360" w:lineRule="auto"/>
        <w:ind w:right="6"/>
        <w:jc w:val="center"/>
        <w:rPr>
          <w:rFonts w:hint="eastAsia" w:ascii="宋体" w:hAnsi="宋体" w:eastAsia="宋体" w:cs="宋体"/>
          <w:b/>
          <w:bCs/>
          <w:caps w:val="0"/>
          <w:color w:val="auto"/>
          <w:sz w:val="32"/>
          <w:szCs w:val="32"/>
          <w:highlight w:val="none"/>
          <w:lang w:eastAsia="zh-CN"/>
        </w:rPr>
      </w:pPr>
      <w:r>
        <w:rPr>
          <w:rFonts w:hint="eastAsia" w:ascii="Times New Roman" w:hAnsi="Times New Roman" w:eastAsia="宋体" w:cs="Times New Roman"/>
          <w:b/>
          <w:bCs/>
          <w:color w:val="auto"/>
          <w:sz w:val="32"/>
          <w:szCs w:val="32"/>
          <w:highlight w:val="none"/>
          <w:lang w:val="en-US" w:eastAsia="zh-CN"/>
        </w:rPr>
        <w:t>酒文化博物馆泛光照明采购与安装工程</w:t>
      </w:r>
    </w:p>
    <w:p w14:paraId="33CFDE00">
      <w:pPr>
        <w:pStyle w:val="76"/>
        <w:spacing w:line="360" w:lineRule="auto"/>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招标公告</w:t>
      </w:r>
      <w:r>
        <w:rPr>
          <w:rFonts w:hint="eastAsia" w:hAnsi="宋体"/>
          <w:b/>
          <w:bCs/>
          <w:color w:val="auto"/>
          <w:sz w:val="32"/>
          <w:szCs w:val="32"/>
          <w:highlight w:val="none"/>
        </w:rPr>
        <w:t>（资格预审）</w:t>
      </w:r>
    </w:p>
    <w:p w14:paraId="657B812B">
      <w:pPr>
        <w:pStyle w:val="76"/>
        <w:spacing w:line="360" w:lineRule="auto"/>
        <w:jc w:val="center"/>
        <w:rPr>
          <w:rFonts w:hint="eastAsia" w:ascii="宋体" w:hAnsi="宋体" w:eastAsia="宋体" w:cs="宋体"/>
          <w:caps w:val="0"/>
          <w:color w:val="auto"/>
          <w:sz w:val="24"/>
          <w:highlight w:val="none"/>
          <w:lang w:val="en-US" w:eastAsia="zh-CN"/>
        </w:rPr>
      </w:pPr>
      <w:r>
        <w:rPr>
          <w:rFonts w:hint="eastAsia" w:ascii="宋体" w:hAnsi="宋体"/>
          <w:bCs/>
          <w:color w:val="auto"/>
          <w:sz w:val="24"/>
          <w:highlight w:val="none"/>
        </w:rPr>
        <w:t>招标</w:t>
      </w:r>
      <w:r>
        <w:rPr>
          <w:rFonts w:hint="eastAsia" w:ascii="宋体" w:hAnsi="宋体" w:eastAsia="宋体" w:cs="Times New Roman"/>
          <w:bCs/>
          <w:color w:val="auto"/>
          <w:sz w:val="24"/>
          <w:highlight w:val="none"/>
        </w:rPr>
        <w:t>编号：舍司招（2025）ZC2-023</w:t>
      </w:r>
    </w:p>
    <w:bookmarkEnd w:id="0"/>
    <w:p w14:paraId="6C3E58E7">
      <w:pPr>
        <w:pStyle w:val="76"/>
        <w:spacing w:line="360" w:lineRule="auto"/>
        <w:rPr>
          <w:rFonts w:hint="eastAsia" w:ascii="宋体" w:hAnsi="宋体" w:eastAsia="宋体" w:cs="宋体"/>
          <w:b/>
          <w:bCs/>
          <w:caps w:val="0"/>
          <w:color w:val="auto"/>
          <w:sz w:val="24"/>
          <w:highlight w:val="none"/>
        </w:rPr>
      </w:pPr>
      <w:bookmarkStart w:id="1" w:name="_Toc720"/>
      <w:r>
        <w:rPr>
          <w:rFonts w:hint="eastAsia" w:ascii="宋体" w:hAnsi="宋体" w:eastAsia="宋体" w:cs="宋体"/>
          <w:b/>
          <w:bCs/>
          <w:caps w:val="0"/>
          <w:color w:val="auto"/>
          <w:sz w:val="24"/>
          <w:highlight w:val="none"/>
        </w:rPr>
        <w:t>1．招标条件</w:t>
      </w:r>
      <w:bookmarkEnd w:id="1"/>
    </w:p>
    <w:p w14:paraId="04C4E13C">
      <w:pPr>
        <w:spacing w:line="360" w:lineRule="auto"/>
        <w:ind w:firstLine="480"/>
        <w:jc w:val="left"/>
        <w:textAlignment w:val="auto"/>
        <w:rPr>
          <w:rFonts w:hint="eastAsia" w:ascii="宋体" w:hAnsi="宋体" w:eastAsia="宋体" w:cs="宋体"/>
          <w:caps w:val="0"/>
          <w:color w:val="auto"/>
          <w:sz w:val="24"/>
          <w:highlight w:val="none"/>
        </w:rPr>
      </w:pPr>
      <w:bookmarkStart w:id="2" w:name="_Toc14033"/>
      <w:r>
        <w:rPr>
          <w:rFonts w:hint="eastAsia" w:ascii="宋体" w:hAnsi="宋体" w:eastAsia="宋体" w:cs="宋体"/>
          <w:caps w:val="0"/>
          <w:color w:val="auto"/>
          <w:sz w:val="24"/>
          <w:highlight w:val="none"/>
        </w:rPr>
        <w:t>本招标项目</w:t>
      </w:r>
      <w:r>
        <w:rPr>
          <w:rFonts w:hint="eastAsia" w:ascii="宋体" w:hAnsi="宋体" w:cs="宋体"/>
          <w:caps w:val="0"/>
          <w:color w:val="auto"/>
          <w:sz w:val="24"/>
          <w:highlight w:val="none"/>
          <w:u w:val="single"/>
          <w:lang w:eastAsia="zh-CN"/>
        </w:rPr>
        <w:t>舍得</w:t>
      </w:r>
      <w:r>
        <w:rPr>
          <w:rFonts w:hint="eastAsia" w:ascii="宋体" w:hAnsi="宋体" w:cs="宋体"/>
          <w:caps w:val="0"/>
          <w:color w:val="auto"/>
          <w:sz w:val="24"/>
          <w:highlight w:val="none"/>
          <w:u w:val="single"/>
          <w:lang w:val="en-US" w:eastAsia="zh-CN"/>
        </w:rPr>
        <w:t>酒业</w:t>
      </w:r>
      <w:r>
        <w:rPr>
          <w:rFonts w:hint="eastAsia" w:ascii="宋体" w:hAnsi="宋体" w:cs="宋体"/>
          <w:caps w:val="0"/>
          <w:color w:val="auto"/>
          <w:sz w:val="24"/>
          <w:highlight w:val="none"/>
          <w:u w:val="single"/>
          <w:lang w:eastAsia="zh-CN"/>
        </w:rPr>
        <w:t>酒文化博物馆</w:t>
      </w:r>
      <w:r>
        <w:rPr>
          <w:rFonts w:hint="eastAsia" w:ascii="宋体" w:hAnsi="宋体" w:cs="宋体"/>
          <w:caps w:val="0"/>
          <w:color w:val="auto"/>
          <w:sz w:val="24"/>
          <w:highlight w:val="none"/>
          <w:u w:val="single"/>
          <w:lang w:val="en-US" w:eastAsia="zh-CN"/>
        </w:rPr>
        <w:t>项目</w:t>
      </w:r>
      <w:r>
        <w:rPr>
          <w:rFonts w:hint="eastAsia" w:ascii="宋体" w:hAnsi="宋体" w:eastAsia="宋体" w:cs="宋体"/>
          <w:caps w:val="0"/>
          <w:color w:val="auto"/>
          <w:sz w:val="24"/>
          <w:highlight w:val="none"/>
        </w:rPr>
        <w:t>已由</w:t>
      </w:r>
      <w:r>
        <w:rPr>
          <w:rFonts w:hint="eastAsia" w:ascii="宋体" w:hAnsi="宋体" w:eastAsia="宋体" w:cs="宋体"/>
          <w:caps w:val="0"/>
          <w:color w:val="auto"/>
          <w:sz w:val="24"/>
          <w:highlight w:val="none"/>
          <w:u w:val="single"/>
        </w:rPr>
        <w:t>舍得酒业股份有限公司</w:t>
      </w:r>
      <w:r>
        <w:rPr>
          <w:rFonts w:hint="eastAsia" w:ascii="宋体" w:hAnsi="宋体" w:eastAsia="宋体" w:cs="宋体"/>
          <w:caps w:val="0"/>
          <w:color w:val="auto"/>
          <w:sz w:val="24"/>
          <w:highlight w:val="none"/>
        </w:rPr>
        <w:t>批准建设。招标人为</w:t>
      </w:r>
      <w:bookmarkStart w:id="3" w:name="_Hlk51439236"/>
      <w:r>
        <w:rPr>
          <w:rFonts w:hint="eastAsia" w:ascii="宋体" w:hAnsi="宋体" w:eastAsia="宋体" w:cs="宋体"/>
          <w:caps w:val="0"/>
          <w:color w:val="auto"/>
          <w:sz w:val="24"/>
          <w:highlight w:val="none"/>
          <w:u w:val="single"/>
        </w:rPr>
        <w:t>舍得酒业股份有限公司</w:t>
      </w:r>
      <w:bookmarkEnd w:id="3"/>
      <w:r>
        <w:rPr>
          <w:rFonts w:hint="eastAsia" w:ascii="宋体" w:hAnsi="宋体" w:eastAsia="宋体" w:cs="宋体"/>
          <w:caps w:val="0"/>
          <w:color w:val="auto"/>
          <w:sz w:val="24"/>
          <w:highlight w:val="none"/>
        </w:rPr>
        <w:t>，资金来源为</w:t>
      </w:r>
      <w:r>
        <w:rPr>
          <w:rFonts w:hint="eastAsia" w:ascii="宋体" w:hAnsi="宋体" w:eastAsia="宋体" w:cs="宋体"/>
          <w:caps w:val="0"/>
          <w:color w:val="auto"/>
          <w:sz w:val="24"/>
          <w:highlight w:val="none"/>
          <w:u w:val="single"/>
        </w:rPr>
        <w:t>企业自筹</w:t>
      </w:r>
      <w:r>
        <w:rPr>
          <w:rFonts w:hint="eastAsia" w:ascii="宋体" w:hAnsi="宋体" w:eastAsia="宋体" w:cs="宋体"/>
          <w:caps w:val="0"/>
          <w:color w:val="auto"/>
          <w:sz w:val="24"/>
          <w:highlight w:val="none"/>
        </w:rPr>
        <w:t>，出资比例</w:t>
      </w:r>
      <w:r>
        <w:rPr>
          <w:rFonts w:hint="eastAsia" w:ascii="宋体" w:hAnsi="宋体" w:eastAsia="宋体" w:cs="宋体"/>
          <w:caps w:val="0"/>
          <w:color w:val="auto"/>
          <w:sz w:val="24"/>
          <w:highlight w:val="none"/>
          <w:u w:val="single"/>
        </w:rPr>
        <w:t>100%</w:t>
      </w:r>
      <w:r>
        <w:rPr>
          <w:rFonts w:hint="eastAsia" w:ascii="宋体" w:hAnsi="宋体" w:eastAsia="宋体" w:cs="宋体"/>
          <w:caps w:val="0"/>
          <w:color w:val="auto"/>
          <w:sz w:val="24"/>
          <w:highlight w:val="none"/>
        </w:rPr>
        <w:t>，项目已具备招标条件，现对该项目的</w:t>
      </w:r>
      <w:r>
        <w:rPr>
          <w:rFonts w:hint="eastAsia" w:ascii="宋体" w:hAnsi="宋体" w:eastAsia="宋体" w:cs="宋体"/>
          <w:color w:val="auto"/>
          <w:sz w:val="24"/>
          <w:u w:val="single"/>
          <w:lang w:val="en-US" w:eastAsia="zh-CN"/>
        </w:rPr>
        <w:t>泛光照明</w:t>
      </w:r>
      <w:r>
        <w:rPr>
          <w:rFonts w:hint="eastAsia" w:ascii="宋体" w:hAnsi="宋体" w:cs="宋体"/>
          <w:caps w:val="0"/>
          <w:color w:val="auto"/>
          <w:sz w:val="24"/>
          <w:highlight w:val="none"/>
          <w:u w:val="single"/>
          <w:lang w:val="en-US" w:eastAsia="zh-CN"/>
        </w:rPr>
        <w:t>工程</w:t>
      </w:r>
      <w:r>
        <w:rPr>
          <w:rFonts w:hint="eastAsia" w:ascii="宋体" w:hAnsi="宋体" w:eastAsia="宋体" w:cs="宋体"/>
          <w:caps w:val="0"/>
          <w:color w:val="auto"/>
          <w:sz w:val="24"/>
          <w:highlight w:val="none"/>
        </w:rPr>
        <w:t>进行公开招标。</w:t>
      </w:r>
    </w:p>
    <w:p w14:paraId="0AD3EB6E">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2．项目概况与招标范围</w:t>
      </w:r>
      <w:bookmarkEnd w:id="2"/>
    </w:p>
    <w:p w14:paraId="5C1A1765">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snapToGrid w:val="0"/>
          <w:color w:val="auto"/>
          <w:kern w:val="0"/>
          <w:sz w:val="24"/>
          <w:highlight w:val="none"/>
          <w:lang w:val="en-US" w:eastAsia="zh-CN"/>
        </w:rPr>
      </w:pPr>
      <w:r>
        <w:rPr>
          <w:rFonts w:hint="eastAsia" w:ascii="宋体" w:hAnsi="宋体" w:eastAsia="宋体" w:cs="宋体"/>
          <w:snapToGrid w:val="0"/>
          <w:color w:val="auto"/>
          <w:kern w:val="0"/>
          <w:sz w:val="24"/>
          <w:highlight w:val="none"/>
        </w:rPr>
        <w:t>2.1项目名称：</w:t>
      </w:r>
      <w:r>
        <w:rPr>
          <w:rFonts w:hint="eastAsia" w:ascii="宋体" w:hAnsi="宋体" w:eastAsia="宋体" w:cs="宋体"/>
          <w:color w:val="auto"/>
          <w:sz w:val="24"/>
          <w:lang w:val="en-US" w:eastAsia="zh-CN"/>
        </w:rPr>
        <w:t>酒文化博物馆泛光照明采购与安装工程</w:t>
      </w:r>
    </w:p>
    <w:p w14:paraId="72EC514B">
      <w:pPr>
        <w:snapToGrid w:val="0"/>
        <w:spacing w:line="360" w:lineRule="auto"/>
        <w:ind w:firstLine="48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2.2项目地址：四川省射洪市沱牌镇舍得酒业股份有限公司厂区</w:t>
      </w:r>
      <w:r>
        <w:rPr>
          <w:rFonts w:hint="eastAsia" w:ascii="宋体" w:hAnsi="宋体" w:cs="宋体"/>
          <w:snapToGrid w:val="0"/>
          <w:color w:val="auto"/>
          <w:kern w:val="0"/>
          <w:sz w:val="24"/>
          <w:highlight w:val="none"/>
          <w:lang w:val="en-US" w:eastAsia="zh-CN"/>
        </w:rPr>
        <w:t>内</w:t>
      </w:r>
      <w:r>
        <w:rPr>
          <w:rFonts w:hint="eastAsia" w:ascii="宋体" w:hAnsi="宋体" w:eastAsia="宋体" w:cs="宋体"/>
          <w:bCs/>
          <w:color w:val="auto"/>
          <w:sz w:val="24"/>
          <w:highlight w:val="none"/>
        </w:rPr>
        <w:t>，地块</w:t>
      </w:r>
      <w:r>
        <w:rPr>
          <w:rFonts w:hint="eastAsia" w:ascii="宋体" w:hAnsi="宋体" w:eastAsia="宋体" w:cs="宋体"/>
          <w:bCs/>
          <w:color w:val="auto"/>
          <w:sz w:val="24"/>
          <w:highlight w:val="none"/>
          <w:lang w:val="en-US" w:eastAsia="zh-CN"/>
        </w:rPr>
        <w:t>东</w:t>
      </w:r>
      <w:r>
        <w:rPr>
          <w:rFonts w:hint="eastAsia" w:ascii="宋体" w:hAnsi="宋体" w:eastAsia="宋体" w:cs="宋体"/>
          <w:bCs/>
          <w:color w:val="auto"/>
          <w:sz w:val="24"/>
          <w:highlight w:val="none"/>
        </w:rPr>
        <w:t>临247 国道，舍得文化旅游区东花园内，临近东大门，地理位置优越，交通便利，自然条件优越</w:t>
      </w:r>
      <w:r>
        <w:rPr>
          <w:rFonts w:hint="eastAsia" w:ascii="宋体" w:hAnsi="宋体" w:eastAsia="宋体" w:cs="宋体"/>
          <w:snapToGrid w:val="0"/>
          <w:color w:val="auto"/>
          <w:kern w:val="0"/>
          <w:sz w:val="24"/>
          <w:highlight w:val="none"/>
        </w:rPr>
        <w:t>。</w:t>
      </w:r>
    </w:p>
    <w:p w14:paraId="756DBEA5">
      <w:pPr>
        <w:snapToGrid w:val="0"/>
        <w:spacing w:line="360" w:lineRule="auto"/>
        <w:ind w:firstLine="480"/>
        <w:rPr>
          <w:rFonts w:hint="eastAsia" w:ascii="宋体" w:hAnsi="宋体" w:eastAsia="宋体" w:cs="宋体"/>
          <w:snapToGrid w:val="0"/>
          <w:color w:val="auto"/>
          <w:kern w:val="0"/>
          <w:sz w:val="24"/>
          <w:highlight w:val="none"/>
        </w:rPr>
      </w:pPr>
      <w:bookmarkStart w:id="4" w:name="_Toc31566"/>
      <w:r>
        <w:rPr>
          <w:rFonts w:hint="eastAsia" w:ascii="宋体" w:hAnsi="宋体" w:eastAsia="宋体" w:cs="宋体"/>
          <w:snapToGrid w:val="0"/>
          <w:color w:val="auto"/>
          <w:kern w:val="0"/>
          <w:sz w:val="24"/>
          <w:highlight w:val="none"/>
        </w:rPr>
        <w:t>2.3 建设单位</w:t>
      </w:r>
      <w:r>
        <w:rPr>
          <w:rFonts w:hint="eastAsia" w:ascii="宋体" w:hAnsi="宋体" w:eastAsia="宋体" w:cs="宋体"/>
          <w:snapToGrid w:val="0"/>
          <w:color w:val="auto"/>
          <w:kern w:val="0"/>
          <w:sz w:val="24"/>
          <w:highlight w:val="none"/>
          <w:lang w:eastAsia="zh-CN"/>
        </w:rPr>
        <w:t>：</w:t>
      </w:r>
      <w:r>
        <w:rPr>
          <w:rFonts w:hint="eastAsia" w:ascii="宋体" w:hAnsi="宋体" w:eastAsia="宋体" w:cs="宋体"/>
          <w:snapToGrid w:val="0"/>
          <w:color w:val="auto"/>
          <w:kern w:val="0"/>
          <w:sz w:val="24"/>
          <w:highlight w:val="none"/>
        </w:rPr>
        <w:t>舍得酒业股份有限公司</w:t>
      </w:r>
    </w:p>
    <w:p w14:paraId="7155C6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napToGrid w:val="0"/>
          <w:color w:val="auto"/>
          <w:kern w:val="0"/>
          <w:sz w:val="24"/>
          <w:highlight w:val="none"/>
        </w:rPr>
        <w:t>2.</w:t>
      </w:r>
      <w:r>
        <w:rPr>
          <w:rFonts w:hint="eastAsia" w:ascii="宋体" w:hAnsi="宋体" w:eastAsia="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工程</w:t>
      </w:r>
      <w:r>
        <w:rPr>
          <w:rFonts w:hint="eastAsia" w:ascii="宋体" w:hAnsi="宋体" w:cs="宋体"/>
          <w:snapToGrid w:val="0"/>
          <w:color w:val="auto"/>
          <w:kern w:val="0"/>
          <w:sz w:val="24"/>
          <w:highlight w:val="none"/>
          <w:lang w:val="en-US" w:eastAsia="zh-CN"/>
        </w:rPr>
        <w:t>概况</w:t>
      </w:r>
      <w:r>
        <w:rPr>
          <w:rFonts w:hint="eastAsia" w:ascii="宋体" w:hAnsi="宋体" w:eastAsia="宋体" w:cs="宋体"/>
          <w:snapToGrid w:val="0"/>
          <w:color w:val="auto"/>
          <w:kern w:val="0"/>
          <w:sz w:val="24"/>
          <w:highlight w:val="none"/>
        </w:rPr>
        <w:t>：</w:t>
      </w:r>
      <w:r>
        <w:rPr>
          <w:rFonts w:hint="eastAsia" w:ascii="宋体" w:hAnsi="宋体" w:eastAsia="宋体" w:cs="宋体"/>
          <w:b w:val="0"/>
          <w:bCs w:val="0"/>
          <w:color w:val="auto"/>
          <w:kern w:val="2"/>
          <w:sz w:val="24"/>
          <w:szCs w:val="24"/>
          <w:lang w:val="en-US" w:eastAsia="zh-CN" w:bidi="ar-SA"/>
        </w:rPr>
        <w:t>项目建设地点位于四川省射洪市沱牌镇，坐落在沱牌舍得酒厂内，北侧为水景景观，西侧为艺术中心酒店，东侧为247国道，南侧为艺术中心花园。建设项目占地14574.50㎡，总建筑规模10876.16㎡。其中地上建筑规模约5291.43㎡，地下建筑规模约5584.73㎡，容积率0.36，建筑最高点高度为23.99m。（以上建筑面积仅做参考，最终以规划方案批复数据为准）。地上建筑主要包括玻璃盒子、夯土盒子、青铜盒子三个单体建筑，均为多层建筑，项目底部设置一个大底盘地下室，地下室的层数为2层。项目按博物馆建筑规模分类属于大中型博物馆，按藏品和基本陈列内容分类属于技术类博物馆，为实物展示和数字声光电展示相结合，主要功能为展示、办公及配套。</w:t>
      </w:r>
    </w:p>
    <w:p w14:paraId="7F298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2.5招标范围（包含但不限于）：</w:t>
      </w:r>
    </w:p>
    <w:p w14:paraId="6DB3E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2.5.1照明配电箱D1ALfg、AL2采购安装；</w:t>
      </w:r>
    </w:p>
    <w:p w14:paraId="54EC7E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2.5.2配电箱AL2进线电缆采购安装；</w:t>
      </w:r>
    </w:p>
    <w:p w14:paraId="27DAE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2.5.3配电箱D1ALfg、AL2后端所有配电、设备、灯具和线路的采购安装；</w:t>
      </w:r>
    </w:p>
    <w:p w14:paraId="6266C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2.5.4控制主机及控制软件的采购安装。</w:t>
      </w:r>
    </w:p>
    <w:p w14:paraId="3905F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2.6质量标准：</w:t>
      </w:r>
    </w:p>
    <w:p w14:paraId="3EEE3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kern w:val="2"/>
          <w:sz w:val="24"/>
          <w:szCs w:val="24"/>
          <w:lang w:val="en-US" w:eastAsia="zh-CN" w:bidi="ar-SA"/>
        </w:rPr>
        <w:t>2.6.1质</w:t>
      </w:r>
      <w:r>
        <w:rPr>
          <w:rFonts w:hint="eastAsia" w:ascii="宋体" w:hAnsi="宋体" w:eastAsia="宋体" w:cs="宋体"/>
          <w:color w:val="auto"/>
          <w:kern w:val="0"/>
          <w:sz w:val="24"/>
          <w:szCs w:val="24"/>
          <w:highlight w:val="none"/>
        </w:rPr>
        <w:t>量标准：</w:t>
      </w:r>
      <w:r>
        <w:rPr>
          <w:rFonts w:hint="eastAsia" w:ascii="宋体" w:hAnsi="宋体" w:eastAsia="宋体" w:cs="宋体"/>
          <w:color w:val="auto"/>
          <w:kern w:val="0"/>
          <w:sz w:val="24"/>
          <w:szCs w:val="24"/>
          <w:highlight w:val="none"/>
          <w:u w:val="single"/>
        </w:rPr>
        <w:t>合格，满足国家现行质量验收标准</w:t>
      </w:r>
      <w:r>
        <w:rPr>
          <w:rFonts w:hint="eastAsia" w:ascii="宋体" w:hAnsi="宋体" w:eastAsia="宋体" w:cs="宋体"/>
          <w:bCs/>
          <w:color w:val="auto"/>
          <w:sz w:val="24"/>
          <w:szCs w:val="24"/>
          <w:highlight w:val="none"/>
        </w:rPr>
        <w:t>。</w:t>
      </w:r>
      <w:r>
        <w:rPr>
          <w:rFonts w:hint="eastAsia" w:ascii="宋体" w:hAnsi="宋体" w:eastAsia="宋体" w:cs="宋体"/>
          <w:color w:val="auto"/>
          <w:kern w:val="0"/>
          <w:sz w:val="24"/>
          <w:szCs w:val="24"/>
          <w:highlight w:val="none"/>
        </w:rPr>
        <w:t>验收要求：</w:t>
      </w:r>
      <w:r>
        <w:rPr>
          <w:rFonts w:hint="eastAsia" w:ascii="宋体" w:hAnsi="宋体" w:eastAsia="宋体" w:cs="宋体"/>
          <w:color w:val="auto"/>
          <w:kern w:val="0"/>
          <w:sz w:val="24"/>
          <w:szCs w:val="24"/>
          <w:highlight w:val="none"/>
          <w:u w:val="single"/>
        </w:rPr>
        <w:t>一次性通过竣工验收</w:t>
      </w:r>
      <w:r>
        <w:rPr>
          <w:rFonts w:hint="eastAsia" w:ascii="宋体" w:hAnsi="宋体" w:eastAsia="宋体" w:cs="宋体"/>
          <w:color w:val="auto"/>
          <w:kern w:val="0"/>
          <w:sz w:val="24"/>
          <w:szCs w:val="24"/>
          <w:highlight w:val="none"/>
          <w:u w:val="single"/>
          <w:lang w:eastAsia="zh-CN"/>
        </w:rPr>
        <w:t>。</w:t>
      </w:r>
    </w:p>
    <w:p w14:paraId="49E3037A">
      <w:pPr>
        <w:spacing w:line="360" w:lineRule="auto"/>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.2材料品质、规格必须满足施工图纸的要求且达到国家或地方相关质量技术规范、标准的要求及招标人要求（工程所用的材料均应有合格证及检验报告）。</w:t>
      </w:r>
    </w:p>
    <w:p w14:paraId="0509656A">
      <w:pPr>
        <w:numPr>
          <w:ilvl w:val="0"/>
          <w:numId w:val="0"/>
        </w:numPr>
        <w:spacing w:line="360" w:lineRule="auto"/>
        <w:ind w:right="3" w:rightChars="0" w:firstLine="480" w:firstLineChars="20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2.7 工期要求：</w:t>
      </w:r>
      <w:r>
        <w:rPr>
          <w:rFonts w:hint="eastAsia" w:ascii="宋体" w:hAnsi="宋体" w:eastAsia="宋体" w:cs="宋体"/>
          <w:color w:val="auto"/>
          <w:sz w:val="24"/>
          <w:szCs w:val="24"/>
          <w:highlight w:val="none"/>
          <w:lang w:val="en-US" w:eastAsia="zh-CN"/>
        </w:rPr>
        <w:t>120个日历天（预留预埋应与总包单位、幕墙单位施工密切配合，不包含在总工期内），具体开工日期以业主单位出具的开工令为准。</w:t>
      </w:r>
    </w:p>
    <w:p w14:paraId="7D10F6D6">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3．投标人资格要求</w:t>
      </w:r>
      <w:bookmarkEnd w:id="4"/>
    </w:p>
    <w:p w14:paraId="37EF87CB">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.1投标人须是具有独立法人资格并依</w:t>
      </w:r>
      <w:r>
        <w:rPr>
          <w:rFonts w:hint="eastAsia" w:ascii="宋体" w:hAnsi="宋体" w:cs="宋体"/>
          <w:color w:val="auto"/>
          <w:sz w:val="24"/>
          <w:highlight w:val="none"/>
          <w:lang w:val="en-US" w:eastAsia="zh-CN"/>
        </w:rPr>
        <w:t>法</w:t>
      </w:r>
      <w:r>
        <w:rPr>
          <w:rFonts w:hint="eastAsia" w:ascii="宋体" w:hAnsi="宋体" w:eastAsia="宋体" w:cs="宋体"/>
          <w:color w:val="auto"/>
          <w:sz w:val="24"/>
          <w:highlight w:val="none"/>
          <w:lang w:val="en-US" w:eastAsia="zh-CN"/>
        </w:rPr>
        <w:t>取得企业营业执照，企业营业执照处于有效期。</w:t>
      </w:r>
    </w:p>
    <w:p w14:paraId="7931F56C">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.2企业注册资金（人民币）不少于</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00万元人民币。</w:t>
      </w:r>
    </w:p>
    <w:p w14:paraId="3EF141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xml:space="preserve">.3 </w:t>
      </w:r>
      <w:r>
        <w:rPr>
          <w:rFonts w:hint="eastAsia" w:ascii="宋体" w:hAnsi="宋体" w:cs="宋体"/>
          <w:sz w:val="24"/>
          <w:highlight w:val="none"/>
        </w:rPr>
        <w:t>投标人</w:t>
      </w:r>
      <w:r>
        <w:rPr>
          <w:rFonts w:hint="eastAsia" w:ascii="宋体" w:hAnsi="宋体" w:cs="宋体"/>
          <w:color w:val="auto"/>
          <w:sz w:val="24"/>
          <w:highlight w:val="none"/>
          <w:lang w:val="en-US" w:eastAsia="zh-CN"/>
        </w:rPr>
        <w:t>须具备有效的</w:t>
      </w:r>
      <w:r>
        <w:rPr>
          <w:rFonts w:hint="eastAsia" w:ascii="宋体" w:hAnsi="宋体" w:cs="宋体"/>
          <w:b w:val="0"/>
          <w:bCs w:val="0"/>
          <w:color w:val="auto"/>
          <w:sz w:val="24"/>
          <w:highlight w:val="none"/>
          <w:lang w:val="en-US" w:eastAsia="zh-CN"/>
        </w:rPr>
        <w:t>城市及道路照明工程专业承包贰级</w:t>
      </w:r>
      <w:r>
        <w:rPr>
          <w:rFonts w:hint="eastAsia" w:ascii="宋体" w:hAnsi="宋体" w:cs="宋体"/>
          <w:color w:val="auto"/>
          <w:sz w:val="24"/>
          <w:highlight w:val="none"/>
          <w:lang w:val="en-US" w:eastAsia="zh-CN"/>
        </w:rPr>
        <w:t>及以上资质</w:t>
      </w:r>
      <w:r>
        <w:rPr>
          <w:rFonts w:hint="eastAsia" w:ascii="宋体" w:hAnsi="宋体" w:eastAsia="宋体" w:cs="宋体"/>
          <w:color w:val="auto"/>
          <w:sz w:val="24"/>
          <w:highlight w:val="none"/>
          <w:lang w:val="en-US" w:eastAsia="zh-CN"/>
        </w:rPr>
        <w:t>，并在人员、设备、资金等方面具备相应的能力。</w:t>
      </w:r>
    </w:p>
    <w:p w14:paraId="74636A27">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.4 人员要求：</w:t>
      </w:r>
    </w:p>
    <w:p w14:paraId="67182B4A">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Times New Roman"/>
          <w:b w:val="0"/>
          <w:bCs w:val="0"/>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.1</w:t>
      </w:r>
      <w:r>
        <w:rPr>
          <w:rFonts w:hint="eastAsia" w:ascii="宋体" w:hAnsi="宋体" w:eastAsia="宋体" w:cs="宋体"/>
          <w:sz w:val="24"/>
          <w:highlight w:val="none"/>
        </w:rPr>
        <w:t>投</w:t>
      </w:r>
      <w:r>
        <w:rPr>
          <w:rFonts w:hint="eastAsia" w:ascii="宋体" w:hAnsi="宋体" w:eastAsia="宋体" w:cs="宋体"/>
          <w:b w:val="0"/>
          <w:bCs w:val="0"/>
          <w:color w:val="auto"/>
          <w:sz w:val="24"/>
          <w:highlight w:val="none"/>
        </w:rPr>
        <w:t>标人拟选派项目负</w:t>
      </w:r>
      <w:r>
        <w:rPr>
          <w:rFonts w:hint="eastAsia" w:ascii="宋体" w:hAnsi="宋体" w:eastAsia="宋体" w:cs="宋体"/>
          <w:b w:val="0"/>
          <w:bCs w:val="0"/>
          <w:color w:val="auto"/>
          <w:sz w:val="24"/>
          <w:highlight w:val="none"/>
          <w:lang w:val="en-US" w:eastAsia="zh-CN"/>
        </w:rPr>
        <w:t>责人资质等级：项目经理或技术负责人</w:t>
      </w:r>
      <w:r>
        <w:rPr>
          <w:rFonts w:hint="eastAsia" w:ascii="宋体" w:hAnsi="宋体" w:eastAsia="宋体" w:cs="宋体"/>
          <w:b w:val="0"/>
          <w:bCs w:val="0"/>
          <w:snapToGrid w:val="0"/>
          <w:color w:val="auto"/>
          <w:sz w:val="24"/>
          <w:szCs w:val="24"/>
          <w:highlight w:val="none"/>
        </w:rPr>
        <w:t>必须已在投标人本单位注册并应</w:t>
      </w:r>
      <w:r>
        <w:rPr>
          <w:rFonts w:hint="eastAsia" w:ascii="宋体" w:hAnsi="宋体" w:eastAsia="宋体" w:cs="宋体"/>
          <w:b w:val="0"/>
          <w:bCs w:val="0"/>
          <w:color w:val="auto"/>
          <w:sz w:val="24"/>
          <w:highlight w:val="none"/>
          <w:lang w:val="en-US" w:eastAsia="zh-CN"/>
        </w:rPr>
        <w:t>具有二级及以上建造师执业资格（机电工程专业），</w:t>
      </w:r>
      <w:r>
        <w:rPr>
          <w:rFonts w:hint="eastAsia" w:ascii="宋体" w:hAnsi="宋体" w:eastAsia="宋体" w:cs="宋体"/>
          <w:b w:val="0"/>
          <w:bCs w:val="0"/>
          <w:snapToGrid w:val="0"/>
          <w:color w:val="auto"/>
          <w:sz w:val="24"/>
          <w:szCs w:val="24"/>
          <w:highlight w:val="none"/>
        </w:rPr>
        <w:t>具备合法有效的建筑施工企业项目负责人安全生产考核合格证书</w:t>
      </w:r>
      <w:r>
        <w:rPr>
          <w:rFonts w:hint="eastAsia" w:ascii="宋体" w:hAnsi="宋体" w:cs="宋体"/>
          <w:b w:val="0"/>
          <w:bCs w:val="0"/>
          <w:snapToGrid w:val="0"/>
          <w:color w:val="auto"/>
          <w:sz w:val="24"/>
          <w:szCs w:val="24"/>
          <w:highlight w:val="none"/>
          <w:lang w:eastAsia="zh-CN"/>
        </w:rPr>
        <w:t>（</w:t>
      </w:r>
      <w:r>
        <w:rPr>
          <w:rFonts w:hint="eastAsia" w:ascii="宋体" w:hAnsi="宋体" w:cs="宋体"/>
          <w:b w:val="0"/>
          <w:bCs w:val="0"/>
          <w:snapToGrid w:val="0"/>
          <w:color w:val="auto"/>
          <w:sz w:val="24"/>
          <w:szCs w:val="24"/>
          <w:highlight w:val="none"/>
          <w:lang w:val="en-US" w:eastAsia="zh-CN"/>
        </w:rPr>
        <w:t>B证</w:t>
      </w:r>
      <w:r>
        <w:rPr>
          <w:rFonts w:hint="eastAsia" w:ascii="宋体" w:hAnsi="宋体" w:cs="宋体"/>
          <w:b w:val="0"/>
          <w:bCs w:val="0"/>
          <w:snapToGrid w:val="0"/>
          <w:color w:val="auto"/>
          <w:sz w:val="24"/>
          <w:szCs w:val="24"/>
          <w:highlight w:val="none"/>
          <w:lang w:eastAsia="zh-CN"/>
        </w:rPr>
        <w:t>）；</w:t>
      </w:r>
    </w:p>
    <w:p w14:paraId="09E127A1">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Times New Roman"/>
          <w:b w:val="0"/>
          <w:bCs w:val="0"/>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lang w:val="en-US" w:eastAsia="zh-CN"/>
        </w:rPr>
        <w:t xml:space="preserve">.2 </w:t>
      </w:r>
      <w:r>
        <w:rPr>
          <w:rFonts w:hint="eastAsia" w:ascii="宋体" w:hAnsi="宋体" w:eastAsia="宋体" w:cs="宋体"/>
          <w:color w:val="auto"/>
          <w:sz w:val="24"/>
          <w:szCs w:val="24"/>
          <w:highlight w:val="none"/>
        </w:rPr>
        <w:t>安全负责人1人，应具有安全</w:t>
      </w:r>
      <w:r>
        <w:rPr>
          <w:rFonts w:hint="eastAsia" w:ascii="宋体" w:hAnsi="宋体" w:cs="宋体"/>
          <w:color w:val="auto"/>
          <w:sz w:val="24"/>
          <w:szCs w:val="24"/>
          <w:highlight w:val="none"/>
          <w:lang w:val="en-US" w:eastAsia="zh-CN"/>
        </w:rPr>
        <w:t>员</w:t>
      </w:r>
      <w:r>
        <w:rPr>
          <w:rFonts w:hint="eastAsia" w:ascii="宋体" w:hAnsi="宋体" w:eastAsia="宋体" w:cs="宋体"/>
          <w:color w:val="auto"/>
          <w:sz w:val="24"/>
          <w:szCs w:val="24"/>
          <w:highlight w:val="none"/>
        </w:rPr>
        <w:t>C证</w:t>
      </w:r>
      <w:r>
        <w:rPr>
          <w:rFonts w:hint="eastAsia" w:ascii="宋体" w:hAnsi="宋体" w:cs="宋体"/>
          <w:color w:val="auto"/>
          <w:sz w:val="24"/>
          <w:szCs w:val="24"/>
          <w:highlight w:val="none"/>
          <w:lang w:val="en-US" w:eastAsia="zh-CN"/>
        </w:rPr>
        <w:t>及以上证书</w:t>
      </w:r>
      <w:r>
        <w:rPr>
          <w:rFonts w:hint="eastAsia" w:ascii="宋体" w:hAnsi="宋体" w:eastAsia="宋体" w:cs="宋体"/>
          <w:color w:val="auto"/>
          <w:sz w:val="24"/>
          <w:szCs w:val="24"/>
          <w:highlight w:val="none"/>
        </w:rPr>
        <w:t>，未承担其它在建工程</w:t>
      </w:r>
      <w:r>
        <w:rPr>
          <w:rFonts w:hint="eastAsia" w:ascii="宋体" w:hAnsi="宋体" w:eastAsia="宋体" w:cs="宋体"/>
          <w:color w:val="auto"/>
          <w:sz w:val="24"/>
          <w:szCs w:val="24"/>
          <w:highlight w:val="none"/>
          <w:lang w:eastAsia="zh-CN"/>
        </w:rPr>
        <w:t>；</w:t>
      </w:r>
    </w:p>
    <w:p w14:paraId="5C06856B">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57A0D253">
      <w:pPr>
        <w:keepNext w:val="0"/>
        <w:keepLines w:val="0"/>
        <w:pageBreakBefore w:val="0"/>
        <w:kinsoku/>
        <w:wordWrap/>
        <w:overflowPunct/>
        <w:topLinePunct w:val="0"/>
        <w:autoSpaceDE/>
        <w:autoSpaceDN/>
        <w:bidi w:val="0"/>
        <w:spacing w:line="360" w:lineRule="auto"/>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.4.</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4AD63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napToGrid w:val="0"/>
          <w:color w:val="auto"/>
          <w:kern w:val="0"/>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.5 业绩要求：</w:t>
      </w:r>
      <w:r>
        <w:rPr>
          <w:rFonts w:hint="eastAsia" w:ascii="宋体" w:hAnsi="宋体" w:eastAsia="宋体" w:cs="宋体"/>
          <w:bCs/>
          <w:snapToGrid w:val="0"/>
          <w:kern w:val="0"/>
          <w:sz w:val="24"/>
          <w:highlight w:val="none"/>
        </w:rPr>
        <w:t>投标人202</w:t>
      </w:r>
      <w:r>
        <w:rPr>
          <w:rFonts w:hint="eastAsia" w:ascii="宋体" w:hAnsi="宋体" w:cs="宋体"/>
          <w:bCs/>
          <w:snapToGrid w:val="0"/>
          <w:kern w:val="0"/>
          <w:sz w:val="24"/>
          <w:highlight w:val="none"/>
          <w:lang w:val="en-US" w:eastAsia="zh-CN"/>
        </w:rPr>
        <w:t>2</w:t>
      </w:r>
      <w:r>
        <w:rPr>
          <w:rFonts w:hint="eastAsia" w:ascii="宋体" w:hAnsi="宋体" w:eastAsia="宋体" w:cs="宋体"/>
          <w:bCs/>
          <w:snapToGrid w:val="0"/>
          <w:kern w:val="0"/>
          <w:sz w:val="24"/>
          <w:highlight w:val="none"/>
        </w:rPr>
        <w:t>年1月1日至</w:t>
      </w:r>
      <w:r>
        <w:rPr>
          <w:rFonts w:hint="eastAsia" w:ascii="宋体" w:hAnsi="宋体" w:cs="宋体"/>
          <w:color w:val="auto"/>
          <w:sz w:val="24"/>
          <w:highlight w:val="none"/>
          <w:lang w:val="en-US" w:eastAsia="zh-CN"/>
        </w:rPr>
        <w:t>公告发布</w:t>
      </w:r>
      <w:r>
        <w:rPr>
          <w:rFonts w:hint="eastAsia" w:ascii="宋体" w:hAnsi="宋体" w:eastAsia="宋体" w:cs="宋体"/>
          <w:color w:val="auto"/>
          <w:sz w:val="24"/>
          <w:highlight w:val="none"/>
          <w:lang w:val="en-US" w:eastAsia="zh-CN"/>
        </w:rPr>
        <w:t>日期间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承建过</w:t>
      </w:r>
      <w:r>
        <w:rPr>
          <w:rFonts w:hint="eastAsia" w:ascii="宋体" w:hAnsi="宋体" w:cs="宋体"/>
          <w:color w:val="auto"/>
          <w:sz w:val="24"/>
          <w:highlight w:val="none"/>
          <w:lang w:val="en-US" w:eastAsia="zh-CN"/>
        </w:rPr>
        <w:t>2个已完工的</w:t>
      </w:r>
      <w:r>
        <w:rPr>
          <w:rFonts w:hint="eastAsia" w:ascii="宋体" w:hAnsi="宋体" w:cs="宋体"/>
          <w:color w:val="000000"/>
          <w:sz w:val="24"/>
          <w:highlight w:val="none"/>
          <w:lang w:val="en-US" w:eastAsia="zh-CN"/>
        </w:rPr>
        <w:t>类似泛光照明项目</w:t>
      </w:r>
      <w:r>
        <w:rPr>
          <w:rFonts w:ascii="宋体" w:hAnsi="宋体" w:eastAsia="宋体" w:cs="宋体"/>
          <w:sz w:val="24"/>
          <w:szCs w:val="24"/>
          <w:highlight w:val="none"/>
        </w:rPr>
        <w:t>（</w:t>
      </w:r>
      <w:r>
        <w:rPr>
          <w:rFonts w:hint="eastAsia" w:ascii="宋体" w:hAnsi="宋体" w:cs="宋体"/>
          <w:sz w:val="24"/>
          <w:szCs w:val="24"/>
          <w:highlight w:val="none"/>
          <w:lang w:val="en-US" w:eastAsia="zh-CN"/>
        </w:rPr>
        <w:t>业态包含：展厅、展馆、高端酒店、会所、写字楼、高奢精品店、商业综合体）</w:t>
      </w:r>
      <w:r>
        <w:rPr>
          <w:rFonts w:hint="eastAsia" w:ascii="宋体" w:hAnsi="宋体" w:eastAsia="宋体" w:cs="宋体"/>
          <w:bCs/>
          <w:snapToGrid w:val="0"/>
          <w:kern w:val="0"/>
          <w:sz w:val="24"/>
          <w:highlight w:val="none"/>
          <w:lang w:val="en-US" w:eastAsia="zh-CN"/>
        </w:rPr>
        <w:t>，且单个合同金额不</w:t>
      </w:r>
      <w:r>
        <w:rPr>
          <w:rFonts w:hint="eastAsia" w:ascii="宋体" w:hAnsi="宋体" w:eastAsia="宋体" w:cs="宋体"/>
          <w:bCs/>
          <w:snapToGrid w:val="0"/>
          <w:color w:val="auto"/>
          <w:kern w:val="0"/>
          <w:sz w:val="24"/>
          <w:highlight w:val="none"/>
          <w:lang w:val="en-US" w:eastAsia="zh-CN"/>
        </w:rPr>
        <w:t>得低于</w:t>
      </w:r>
      <w:r>
        <w:rPr>
          <w:rFonts w:hint="eastAsia" w:ascii="宋体" w:hAnsi="宋体" w:cs="宋体"/>
          <w:bCs/>
          <w:snapToGrid w:val="0"/>
          <w:color w:val="auto"/>
          <w:kern w:val="0"/>
          <w:sz w:val="24"/>
          <w:highlight w:val="none"/>
          <w:lang w:val="en-US" w:eastAsia="zh-CN"/>
        </w:rPr>
        <w:t>1</w:t>
      </w:r>
      <w:r>
        <w:rPr>
          <w:rFonts w:hint="eastAsia" w:ascii="宋体" w:hAnsi="宋体" w:eastAsia="宋体" w:cs="宋体"/>
          <w:bCs/>
          <w:snapToGrid w:val="0"/>
          <w:color w:val="auto"/>
          <w:kern w:val="0"/>
          <w:sz w:val="24"/>
          <w:highlight w:val="none"/>
          <w:lang w:val="en-US" w:eastAsia="zh-CN"/>
        </w:rPr>
        <w:t>00万元。</w:t>
      </w:r>
    </w:p>
    <w:p w14:paraId="29CF603B">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.6 信誉要求：企业信誉良好，在信用中国平台上（http://www.creditchina.gov.cn）无严重失信和经营异常记录。</w:t>
      </w:r>
    </w:p>
    <w:p w14:paraId="22DC9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.7 财务状况要求：</w:t>
      </w:r>
      <w:r>
        <w:rPr>
          <w:rFonts w:hint="eastAsia" w:ascii="宋体" w:hAnsi="宋体" w:eastAsia="宋体" w:cs="宋体"/>
          <w:bCs/>
          <w:color w:val="auto"/>
          <w:sz w:val="24"/>
          <w:highlight w:val="none"/>
        </w:rPr>
        <w:t>近三年财务状况</w:t>
      </w:r>
      <w:r>
        <w:rPr>
          <w:rFonts w:hint="eastAsia" w:ascii="宋体" w:hAnsi="宋体" w:eastAsia="宋体" w:cs="宋体"/>
          <w:bCs/>
          <w:color w:val="auto"/>
          <w:sz w:val="24"/>
          <w:highlight w:val="none"/>
          <w:lang w:val="en-US" w:eastAsia="zh-CN"/>
        </w:rPr>
        <w:t>良好，净利润平均无亏损，有足够资金能力承担本项目的实施</w:t>
      </w:r>
      <w:r>
        <w:rPr>
          <w:rFonts w:hint="eastAsia" w:ascii="宋体" w:hAnsi="宋体" w:eastAsia="宋体" w:cs="宋体"/>
          <w:bCs/>
          <w:color w:val="auto"/>
          <w:sz w:val="24"/>
          <w:highlight w:val="none"/>
        </w:rPr>
        <w:t>【提供202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-202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年</w:t>
      </w:r>
      <w:r>
        <w:rPr>
          <w:rFonts w:ascii="宋体" w:hAnsi="宋体" w:eastAsia="宋体" w:cs="宋体"/>
          <w:color w:val="auto"/>
          <w:sz w:val="24"/>
          <w:szCs w:val="24"/>
          <w:highlight w:val="none"/>
        </w:rPr>
        <w:t>经过</w:t>
      </w:r>
      <w:r>
        <w:rPr>
          <w:rFonts w:hint="eastAsia" w:ascii="宋体" w:hAnsi="宋体" w:eastAsia="宋体" w:cs="宋体"/>
          <w:bCs/>
          <w:color w:val="auto"/>
          <w:sz w:val="24"/>
          <w:highlight w:val="none"/>
        </w:rPr>
        <w:t>第三方</w:t>
      </w:r>
      <w:r>
        <w:rPr>
          <w:rFonts w:ascii="宋体" w:hAnsi="宋体" w:eastAsia="宋体" w:cs="宋体"/>
          <w:color w:val="auto"/>
          <w:sz w:val="24"/>
          <w:szCs w:val="24"/>
          <w:highlight w:val="none"/>
        </w:rPr>
        <w:t>会计师事务所审计</w:t>
      </w:r>
      <w:r>
        <w:rPr>
          <w:rFonts w:hint="eastAsia" w:ascii="宋体" w:hAnsi="宋体" w:eastAsia="宋体" w:cs="宋体"/>
          <w:color w:val="auto"/>
          <w:sz w:val="24"/>
          <w:szCs w:val="24"/>
          <w:highlight w:val="none"/>
          <w:lang w:val="en-US" w:eastAsia="zh-CN"/>
        </w:rPr>
        <w:t>签字盖章</w:t>
      </w:r>
      <w:r>
        <w:rPr>
          <w:rFonts w:hint="eastAsia" w:ascii="宋体" w:hAnsi="宋体" w:eastAsia="宋体" w:cs="宋体"/>
          <w:bCs/>
          <w:color w:val="auto"/>
          <w:sz w:val="24"/>
          <w:highlight w:val="none"/>
        </w:rPr>
        <w:t>的财务报表（资产负债表、现金流量表、利润表）</w:t>
      </w:r>
      <w:r>
        <w:rPr>
          <w:rFonts w:hint="eastAsia" w:ascii="宋体" w:hAnsi="宋体" w:cs="宋体"/>
          <w:bCs/>
          <w:color w:val="auto"/>
          <w:sz w:val="24"/>
          <w:highlight w:val="none"/>
          <w:lang w:val="en-US" w:eastAsia="zh-CN"/>
        </w:rPr>
        <w:t>及</w:t>
      </w:r>
      <w:r>
        <w:rPr>
          <w:rFonts w:hint="eastAsia" w:ascii="宋体" w:hAnsi="宋体" w:eastAsia="宋体" w:cs="宋体"/>
          <w:bCs/>
          <w:color w:val="auto"/>
          <w:sz w:val="24"/>
          <w:highlight w:val="none"/>
        </w:rPr>
        <w:t>年度审计报告】</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 xml:space="preserve"> </w:t>
      </w:r>
    </w:p>
    <w:p w14:paraId="3EB5B54C">
      <w:pPr>
        <w:spacing w:line="360" w:lineRule="auto"/>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 xml:space="preserve"> 本次招标不接受联合体投标。</w:t>
      </w:r>
    </w:p>
    <w:p w14:paraId="63535BBA">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 xml:space="preserve">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14:paraId="498EEB23">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4</w:t>
      </w:r>
      <w:r>
        <w:rPr>
          <w:rFonts w:hint="eastAsia" w:ascii="宋体" w:hAnsi="宋体" w:eastAsia="宋体" w:cs="宋体"/>
          <w:b/>
          <w:bCs/>
          <w:caps w:val="0"/>
          <w:color w:val="auto"/>
          <w:sz w:val="24"/>
          <w:highlight w:val="none"/>
        </w:rPr>
        <w:t>.确定潜在投标人的方法</w:t>
      </w:r>
    </w:p>
    <w:p w14:paraId="0B241C8C">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本项目资格预审采用合格制。资格预审采用的</w:t>
      </w:r>
      <w:r>
        <w:rPr>
          <w:rFonts w:hint="eastAsia" w:ascii="宋体" w:hAnsi="宋体" w:eastAsia="宋体" w:cs="宋体"/>
          <w:b w:val="0"/>
          <w:bCs w:val="0"/>
          <w:snapToGrid w:val="0"/>
          <w:color w:val="auto"/>
          <w:sz w:val="24"/>
          <w:highlight w:val="none"/>
          <w:lang w:val="en-US" w:eastAsia="zh-CN"/>
        </w:rPr>
        <w:t>是</w:t>
      </w:r>
      <w:r>
        <w:rPr>
          <w:rFonts w:hint="eastAsia" w:ascii="宋体" w:hAnsi="宋体" w:cs="宋体"/>
          <w:b w:val="0"/>
          <w:bCs w:val="0"/>
          <w:snapToGrid w:val="0"/>
          <w:color w:val="auto"/>
          <w:sz w:val="24"/>
          <w:highlight w:val="none"/>
          <w:lang w:val="en-US" w:eastAsia="zh-CN"/>
        </w:rPr>
        <w:t>资料</w:t>
      </w:r>
      <w:r>
        <w:rPr>
          <w:rFonts w:hint="eastAsia" w:ascii="宋体" w:hAnsi="宋体" w:eastAsia="宋体" w:cs="宋体"/>
          <w:b w:val="0"/>
          <w:bCs w:val="0"/>
          <w:snapToGrid w:val="0"/>
          <w:color w:val="auto"/>
          <w:sz w:val="24"/>
          <w:highlight w:val="none"/>
          <w:lang w:val="en-US" w:eastAsia="zh-CN"/>
        </w:rPr>
        <w:t>审查</w:t>
      </w:r>
      <w:r>
        <w:rPr>
          <w:rFonts w:hint="eastAsia" w:ascii="宋体" w:hAnsi="宋体" w:cs="宋体"/>
          <w:b w:val="0"/>
          <w:bCs w:val="0"/>
          <w:snapToGrid w:val="0"/>
          <w:color w:val="auto"/>
          <w:sz w:val="24"/>
          <w:highlight w:val="none"/>
          <w:lang w:val="en-US" w:eastAsia="zh-CN"/>
        </w:rPr>
        <w:t>、现场</w:t>
      </w:r>
      <w:r>
        <w:rPr>
          <w:rFonts w:hint="eastAsia" w:ascii="宋体" w:hAnsi="宋体" w:eastAsia="宋体" w:cs="宋体"/>
          <w:b w:val="0"/>
          <w:bCs w:val="0"/>
          <w:snapToGrid w:val="0"/>
          <w:color w:val="auto"/>
          <w:sz w:val="24"/>
          <w:highlight w:val="none"/>
          <w:lang w:val="en-US" w:eastAsia="zh-CN"/>
        </w:rPr>
        <w:t>考察</w:t>
      </w:r>
      <w:r>
        <w:rPr>
          <w:rFonts w:hint="eastAsia" w:ascii="宋体" w:hAnsi="宋体" w:cs="宋体"/>
          <w:b w:val="0"/>
          <w:bCs w:val="0"/>
          <w:snapToGrid w:val="0"/>
          <w:color w:val="auto"/>
          <w:sz w:val="24"/>
          <w:highlight w:val="none"/>
          <w:lang w:val="en-US" w:eastAsia="zh-CN"/>
        </w:rPr>
        <w:t>和技术</w:t>
      </w:r>
      <w:r>
        <w:rPr>
          <w:rFonts w:hint="eastAsia" w:ascii="宋体" w:hAnsi="宋体" w:eastAsia="宋体" w:cs="宋体"/>
          <w:b w:val="0"/>
          <w:bCs w:val="0"/>
          <w:snapToGrid w:val="0"/>
          <w:color w:val="auto"/>
          <w:sz w:val="24"/>
          <w:highlight w:val="none"/>
          <w:lang w:val="en-US" w:eastAsia="zh-CN"/>
        </w:rPr>
        <w:t>交流相结合</w:t>
      </w:r>
      <w:r>
        <w:rPr>
          <w:rFonts w:hint="eastAsia" w:ascii="宋体" w:hAnsi="宋体" w:eastAsia="宋体" w:cs="宋体"/>
          <w:snapToGrid w:val="0"/>
          <w:color w:val="auto"/>
          <w:sz w:val="24"/>
          <w:highlight w:val="none"/>
          <w:lang w:val="en-US" w:eastAsia="zh-CN"/>
        </w:rPr>
        <w:t>的方式。文件审查合格后招标人将对其进行考察、交流，审查均通过后方能进入投标环节</w:t>
      </w:r>
      <w:r>
        <w:rPr>
          <w:rFonts w:hint="eastAsia" w:ascii="宋体" w:hAnsi="宋体" w:eastAsia="宋体" w:cs="宋体"/>
          <w:bCs/>
          <w:color w:val="auto"/>
          <w:sz w:val="24"/>
          <w:highlight w:val="none"/>
        </w:rPr>
        <w:t>。</w:t>
      </w:r>
    </w:p>
    <w:p w14:paraId="6F40CA81">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5</w:t>
      </w:r>
      <w:r>
        <w:rPr>
          <w:rFonts w:hint="eastAsia" w:ascii="宋体" w:hAnsi="宋体" w:eastAsia="宋体" w:cs="宋体"/>
          <w:b/>
          <w:bCs/>
          <w:caps w:val="0"/>
          <w:color w:val="auto"/>
          <w:sz w:val="24"/>
          <w:highlight w:val="none"/>
        </w:rPr>
        <w:t>.资格预审文件的递交</w:t>
      </w:r>
    </w:p>
    <w:p w14:paraId="594493D8">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w:t>
      </w:r>
      <w:r>
        <w:rPr>
          <w:rFonts w:hint="eastAsia" w:ascii="宋体" w:hAnsi="宋体" w:cs="宋体"/>
          <w:snapToGrid w:val="0"/>
          <w:color w:val="auto"/>
          <w:sz w:val="24"/>
          <w:highlight w:val="none"/>
          <w:lang w:val="en-US" w:eastAsia="zh-CN"/>
        </w:rPr>
        <w:t>5</w:t>
      </w:r>
      <w:r>
        <w:rPr>
          <w:rFonts w:hint="eastAsia" w:ascii="宋体" w:hAnsi="宋体" w:eastAsia="宋体" w:cs="宋体"/>
          <w:snapToGrid w:val="0"/>
          <w:color w:val="auto"/>
          <w:sz w:val="24"/>
          <w:highlight w:val="none"/>
          <w:lang w:val="en-US" w:eastAsia="zh-CN"/>
        </w:rPr>
        <w:t>年</w:t>
      </w:r>
      <w:r>
        <w:rPr>
          <w:rFonts w:hint="eastAsia" w:ascii="宋体" w:hAnsi="宋体" w:cs="宋体"/>
          <w:snapToGrid w:val="0"/>
          <w:color w:val="auto"/>
          <w:sz w:val="24"/>
          <w:highlight w:val="none"/>
          <w:lang w:val="en-US" w:eastAsia="zh-CN"/>
        </w:rPr>
        <w:t>11</w:t>
      </w:r>
      <w:r>
        <w:rPr>
          <w:rFonts w:hint="eastAsia" w:ascii="宋体" w:hAnsi="宋体" w:eastAsia="宋体" w:cs="宋体"/>
          <w:snapToGrid w:val="0"/>
          <w:color w:val="auto"/>
          <w:sz w:val="24"/>
          <w:highlight w:val="none"/>
          <w:lang w:val="en-US" w:eastAsia="zh-CN"/>
        </w:rPr>
        <w:t>月</w:t>
      </w:r>
      <w:r>
        <w:rPr>
          <w:rFonts w:hint="eastAsia" w:ascii="宋体" w:hAnsi="宋体" w:cs="宋体"/>
          <w:snapToGrid w:val="0"/>
          <w:color w:val="auto"/>
          <w:sz w:val="24"/>
          <w:highlight w:val="none"/>
          <w:lang w:val="en-US" w:eastAsia="zh-CN"/>
        </w:rPr>
        <w:t>6</w:t>
      </w:r>
      <w:r>
        <w:rPr>
          <w:rFonts w:hint="eastAsia" w:ascii="宋体" w:hAnsi="宋体" w:eastAsia="宋体" w:cs="宋体"/>
          <w:snapToGrid w:val="0"/>
          <w:color w:val="auto"/>
          <w:sz w:val="24"/>
          <w:highlight w:val="none"/>
          <w:lang w:val="en-US" w:eastAsia="zh-CN"/>
        </w:rPr>
        <w:t>日</w:t>
      </w:r>
      <w:r>
        <w:rPr>
          <w:rFonts w:hint="eastAsia" w:ascii="宋体" w:hAnsi="宋体" w:cs="宋体"/>
          <w:snapToGrid w:val="0"/>
          <w:color w:val="auto"/>
          <w:sz w:val="24"/>
          <w:highlight w:val="none"/>
          <w:lang w:val="en-US" w:eastAsia="zh-CN"/>
        </w:rPr>
        <w:t>18</w:t>
      </w:r>
      <w:r>
        <w:rPr>
          <w:rFonts w:hint="eastAsia" w:ascii="宋体" w:hAnsi="宋体" w:eastAsia="宋体" w:cs="宋体"/>
          <w:snapToGrid w:val="0"/>
          <w:color w:val="auto"/>
          <w:sz w:val="24"/>
          <w:highlight w:val="none"/>
          <w:lang w:val="en-US" w:eastAsia="zh-CN"/>
        </w:rPr>
        <w:t>：</w:t>
      </w:r>
      <w:r>
        <w:rPr>
          <w:rFonts w:hint="eastAsia" w:ascii="宋体" w:hAnsi="宋体" w:cs="宋体"/>
          <w:snapToGrid w:val="0"/>
          <w:color w:val="auto"/>
          <w:sz w:val="24"/>
          <w:highlight w:val="none"/>
          <w:lang w:val="en-US" w:eastAsia="zh-CN"/>
        </w:rPr>
        <w:t>0</w:t>
      </w:r>
      <w:r>
        <w:rPr>
          <w:rFonts w:hint="eastAsia" w:ascii="宋体" w:hAnsi="宋体" w:eastAsia="宋体" w:cs="宋体"/>
          <w:snapToGrid w:val="0"/>
          <w:color w:val="auto"/>
          <w:sz w:val="24"/>
          <w:highlight w:val="none"/>
          <w:lang w:val="en-US" w:eastAsia="zh-CN"/>
        </w:rPr>
        <w:t>0前，登陆舍得酒业招采数字化平台(网址：https://ssrm.shede.com.cn），点击页面顶部“一链网”参与项目报名,并按照“附件</w:t>
      </w:r>
      <w:r>
        <w:rPr>
          <w:rFonts w:hint="eastAsia" w:ascii="宋体" w:hAnsi="宋体" w:cs="宋体"/>
          <w:snapToGrid w:val="0"/>
          <w:color w:val="auto"/>
          <w:sz w:val="24"/>
          <w:highlight w:val="none"/>
          <w:lang w:val="en-US" w:eastAsia="zh-CN"/>
        </w:rPr>
        <w:t>二</w:t>
      </w:r>
      <w:r>
        <w:rPr>
          <w:rFonts w:hint="eastAsia" w:ascii="宋体" w:hAnsi="宋体" w:eastAsia="宋体" w:cs="宋体"/>
          <w:snapToGrid w:val="0"/>
          <w:color w:val="auto"/>
          <w:sz w:val="24"/>
          <w:highlight w:val="none"/>
          <w:lang w:val="en-US" w:eastAsia="zh-CN"/>
        </w:rPr>
        <w:t>投标预审资料提交模板”的要求提供资格预审盖章扫描文件及可编辑word版本。</w:t>
      </w:r>
      <w:bookmarkStart w:id="6" w:name="_GoBack"/>
      <w:bookmarkEnd w:id="6"/>
    </w:p>
    <w:p w14:paraId="44AB6DB0">
      <w:pPr>
        <w:spacing w:line="360" w:lineRule="auto"/>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14:paraId="2D72C8F7">
      <w:pPr>
        <w:pStyle w:val="76"/>
        <w:spacing w:line="360" w:lineRule="auto"/>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6</w:t>
      </w:r>
      <w:r>
        <w:rPr>
          <w:rFonts w:hint="eastAsia" w:ascii="宋体" w:hAnsi="宋体" w:eastAsia="宋体" w:cs="宋体"/>
          <w:b/>
          <w:bCs/>
          <w:caps w:val="0"/>
          <w:color w:val="auto"/>
          <w:sz w:val="24"/>
          <w:highlight w:val="none"/>
        </w:rPr>
        <w:t>.投标保证金</w:t>
      </w:r>
    </w:p>
    <w:p w14:paraId="59AF6D64">
      <w:pPr>
        <w:spacing w:line="360" w:lineRule="auto"/>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cs="宋体"/>
          <w:b w:val="0"/>
          <w:bCs w:val="0"/>
          <w:snapToGrid w:val="0"/>
          <w:color w:val="auto"/>
          <w:sz w:val="24"/>
          <w:highlight w:val="none"/>
          <w:u w:val="none"/>
          <w:lang w:val="en-US" w:eastAsia="zh-CN"/>
        </w:rPr>
        <w:t>2</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color w:val="auto"/>
          <w:sz w:val="24"/>
          <w:highlight w:val="none"/>
        </w:rPr>
        <w:t>在规定时间内缴纳投标保证金。投标保证金缴纳截止时间以招标文件为准，以转账方式缴纳投标保证金，投标人转账时请在转账凭证用途栏上</w:t>
      </w:r>
      <w:r>
        <w:rPr>
          <w:rFonts w:hint="eastAsia" w:ascii="宋体" w:hAnsi="宋体" w:eastAsia="宋体" w:cs="宋体"/>
          <w:caps w:val="0"/>
          <w:color w:val="auto"/>
          <w:sz w:val="24"/>
          <w:highlight w:val="none"/>
        </w:rPr>
        <w:t>注明本项目招标编号：</w:t>
      </w:r>
      <w:r>
        <w:rPr>
          <w:rFonts w:hint="eastAsia" w:ascii="宋体" w:hAnsi="宋体" w:eastAsia="宋体" w:cs="宋体"/>
          <w:b w:val="0"/>
          <w:bCs w:val="0"/>
          <w:snapToGrid w:val="0"/>
          <w:color w:val="auto"/>
          <w:sz w:val="24"/>
          <w:highlight w:val="none"/>
          <w:lang w:val="en-US" w:eastAsia="zh-CN"/>
        </w:rPr>
        <w:t>ZC2-0</w:t>
      </w:r>
      <w:r>
        <w:rPr>
          <w:rFonts w:hint="eastAsia" w:ascii="宋体" w:hAnsi="宋体" w:cs="宋体"/>
          <w:b w:val="0"/>
          <w:bCs w:val="0"/>
          <w:snapToGrid w:val="0"/>
          <w:color w:val="auto"/>
          <w:sz w:val="24"/>
          <w:highlight w:val="none"/>
          <w:lang w:val="en-US" w:eastAsia="zh-CN"/>
        </w:rPr>
        <w:t>23</w:t>
      </w:r>
      <w:r>
        <w:rPr>
          <w:rFonts w:hint="eastAsia" w:ascii="宋体" w:hAnsi="宋体" w:eastAsia="宋体" w:cs="宋体"/>
          <w:b w:val="0"/>
          <w:bCs w:val="0"/>
          <w:snapToGrid w:val="0"/>
          <w:color w:val="auto"/>
          <w:sz w:val="24"/>
          <w:highlight w:val="none"/>
          <w:lang w:val="en-US" w:eastAsia="zh-CN"/>
        </w:rPr>
        <w:t>。</w:t>
      </w:r>
    </w:p>
    <w:p w14:paraId="049E7449">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14:paraId="71B88D77">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14:paraId="7F0403E0">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14:paraId="0F01C065">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14:paraId="76253080">
      <w:pPr>
        <w:spacing w:line="360" w:lineRule="auto"/>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保证金退还：投标人若中标，投标保证金自动转为履约保证金</w:t>
      </w:r>
      <w:r>
        <w:rPr>
          <w:rFonts w:hint="eastAsia" w:ascii="宋体" w:hAnsi="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1B01B400">
      <w:pPr>
        <w:adjustRightInd w:val="0"/>
        <w:snapToGrid w:val="0"/>
        <w:spacing w:line="360" w:lineRule="auto"/>
        <w:ind w:left="0" w:leftChars="0" w:firstLine="0" w:firstLineChars="0"/>
        <w:rPr>
          <w:rFonts w:hint="eastAsia" w:ascii="宋体" w:hAnsi="宋体" w:eastAsia="宋体" w:cs="宋体"/>
          <w:color w:val="auto"/>
          <w:sz w:val="24"/>
          <w:highlight w:val="none"/>
        </w:rPr>
      </w:pPr>
      <w:bookmarkStart w:id="5" w:name="_Toc26183"/>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.投标报名联系人及时间安排：</w:t>
      </w:r>
      <w:r>
        <w:rPr>
          <w:rFonts w:hint="eastAsia" w:ascii="宋体" w:hAnsi="宋体" w:eastAsia="宋体" w:cs="宋体"/>
          <w:color w:val="auto"/>
          <w:sz w:val="24"/>
          <w:highlight w:val="none"/>
        </w:rPr>
        <w:t xml:space="preserve"> </w:t>
      </w:r>
    </w:p>
    <w:p w14:paraId="41DB6A9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14:paraId="3BB198B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w:t>
      </w:r>
      <w:r>
        <w:rPr>
          <w:rFonts w:hint="eastAsia" w:hAnsi="宋体" w:cs="宋体"/>
          <w:snapToGrid w:val="0"/>
          <w:color w:val="auto"/>
          <w:kern w:val="2"/>
          <w:sz w:val="24"/>
          <w:szCs w:val="24"/>
          <w:highlight w:val="none"/>
          <w:lang w:val="en-US" w:eastAsia="zh-CN" w:bidi="ar-SA"/>
        </w:rPr>
        <w:t>于</w:t>
      </w:r>
      <w:r>
        <w:rPr>
          <w:rFonts w:hint="eastAsia" w:ascii="宋体" w:hAnsi="宋体" w:eastAsia="宋体" w:cs="宋体"/>
          <w:snapToGrid w:val="0"/>
          <w:color w:val="auto"/>
          <w:kern w:val="2"/>
          <w:sz w:val="24"/>
          <w:szCs w:val="24"/>
          <w:highlight w:val="none"/>
          <w:lang w:val="en-US" w:eastAsia="zh-CN" w:bidi="ar-SA"/>
        </w:rPr>
        <w:t>先生</w:t>
      </w:r>
      <w:r>
        <w:rPr>
          <w:rFonts w:hint="eastAsia" w:hAnsi="宋体" w:cs="宋体"/>
          <w:snapToGrid w:val="0"/>
          <w:color w:val="auto"/>
          <w:kern w:val="2"/>
          <w:sz w:val="24"/>
          <w:szCs w:val="24"/>
          <w:highlight w:val="none"/>
          <w:lang w:val="en-US" w:eastAsia="zh-CN" w:bidi="ar-SA"/>
        </w:rPr>
        <w:t xml:space="preserve"> 15082533629</w:t>
      </w:r>
      <w:r>
        <w:rPr>
          <w:rFonts w:hint="eastAsia" w:ascii="宋体" w:hAnsi="宋体" w:eastAsia="宋体" w:cs="宋体"/>
          <w:snapToGrid w:val="0"/>
          <w:color w:val="auto"/>
          <w:kern w:val="2"/>
          <w:sz w:val="24"/>
          <w:szCs w:val="24"/>
          <w:highlight w:val="none"/>
          <w:lang w:val="en-US" w:eastAsia="zh-CN" w:bidi="ar-SA"/>
        </w:rPr>
        <w:t xml:space="preserve">  </w:t>
      </w:r>
    </w:p>
    <w:p w14:paraId="4B9E7DD8">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14:paraId="7BC4900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14:paraId="58F754D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240" w:firstLineChars="10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资格预审合格后，登录舍得酒业招采数字化平台(网址：https://ssrm.shede.com.cn），点击页面顶部“一链网”获取招标文件，招标文件不收取费用</w:t>
      </w:r>
      <w:r>
        <w:rPr>
          <w:rFonts w:hint="eastAsia" w:ascii="宋体" w:hAnsi="宋体" w:eastAsia="宋体" w:cs="宋体"/>
          <w:snapToGrid w:val="0"/>
          <w:color w:val="auto"/>
          <w:kern w:val="2"/>
          <w:sz w:val="24"/>
          <w:szCs w:val="24"/>
          <w:highlight w:val="none"/>
          <w:lang w:val="en-US" w:eastAsia="zh-CN" w:bidi="ar-SA"/>
        </w:rPr>
        <w:t>。</w:t>
      </w:r>
    </w:p>
    <w:p w14:paraId="7F1A572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14:paraId="0013DA3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yellow"/>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投标预审资料递交截止时间：202</w:t>
      </w:r>
      <w:r>
        <w:rPr>
          <w:rFonts w:hint="eastAsia" w:hAnsi="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6</w:t>
      </w:r>
      <w:r>
        <w:rPr>
          <w:rFonts w:hint="eastAsia" w:ascii="宋体" w:hAnsi="宋体" w:eastAsia="宋体" w:cs="宋体"/>
          <w:snapToGrid w:val="0"/>
          <w:color w:val="auto"/>
          <w:kern w:val="2"/>
          <w:sz w:val="24"/>
          <w:szCs w:val="24"/>
          <w:highlight w:val="none"/>
          <w:lang w:val="en-US" w:eastAsia="zh-CN" w:bidi="ar-SA"/>
        </w:rPr>
        <w:t>日</w:t>
      </w:r>
      <w:r>
        <w:rPr>
          <w:rFonts w:hint="eastAsia" w:hAnsi="宋体" w:cs="宋体"/>
          <w:snapToGrid w:val="0"/>
          <w:color w:val="auto"/>
          <w:kern w:val="2"/>
          <w:sz w:val="24"/>
          <w:szCs w:val="24"/>
          <w:highlight w:val="none"/>
          <w:lang w:val="en-US" w:eastAsia="zh-CN" w:bidi="ar-SA"/>
        </w:rPr>
        <w:t>18</w:t>
      </w:r>
      <w:r>
        <w:rPr>
          <w:rFonts w:hint="eastAsia" w:ascii="宋体" w:hAnsi="宋体" w:eastAsia="宋体" w:cs="宋体"/>
          <w:snapToGrid w:val="0"/>
          <w:color w:val="auto"/>
          <w:kern w:val="2"/>
          <w:sz w:val="24"/>
          <w:szCs w:val="24"/>
          <w:highlight w:val="none"/>
          <w:lang w:val="en-US" w:eastAsia="zh-CN" w:bidi="ar-SA"/>
        </w:rPr>
        <w:t>：</w:t>
      </w:r>
      <w:r>
        <w:rPr>
          <w:rFonts w:hint="eastAsia" w:hAnsi="宋体" w:cs="宋体"/>
          <w:snapToGrid w:val="0"/>
          <w:color w:val="auto"/>
          <w:kern w:val="2"/>
          <w:sz w:val="24"/>
          <w:szCs w:val="24"/>
          <w:highlight w:val="none"/>
          <w:lang w:val="en-US" w:eastAsia="zh-CN" w:bidi="ar-SA"/>
        </w:rPr>
        <w:t>0</w:t>
      </w:r>
      <w:r>
        <w:rPr>
          <w:rFonts w:hint="eastAsia" w:ascii="宋体" w:hAnsi="宋体" w:eastAsia="宋体" w:cs="宋体"/>
          <w:snapToGrid w:val="0"/>
          <w:color w:val="auto"/>
          <w:kern w:val="2"/>
          <w:sz w:val="24"/>
          <w:szCs w:val="24"/>
          <w:highlight w:val="none"/>
          <w:lang w:val="en-US" w:eastAsia="zh-CN" w:bidi="ar-SA"/>
        </w:rPr>
        <w:t>0</w:t>
      </w:r>
      <w:r>
        <w:rPr>
          <w:rFonts w:hint="eastAsia" w:hAnsi="宋体" w:cs="宋体"/>
          <w:snapToGrid w:val="0"/>
          <w:color w:val="auto"/>
          <w:kern w:val="2"/>
          <w:sz w:val="24"/>
          <w:szCs w:val="24"/>
          <w:highlight w:val="none"/>
          <w:lang w:val="en-US" w:eastAsia="zh-CN" w:bidi="ar-SA"/>
        </w:rPr>
        <w:t>（北京时间）</w:t>
      </w:r>
    </w:p>
    <w:p w14:paraId="6D8F52D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本项目预计发标时间：202</w:t>
      </w:r>
      <w:r>
        <w:rPr>
          <w:rFonts w:hint="eastAsia" w:hAnsi="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24</w:t>
      </w:r>
      <w:r>
        <w:rPr>
          <w:rFonts w:hint="eastAsia" w:ascii="宋体" w:hAnsi="宋体" w:eastAsia="宋体" w:cs="宋体"/>
          <w:snapToGrid w:val="0"/>
          <w:color w:val="auto"/>
          <w:kern w:val="2"/>
          <w:sz w:val="24"/>
          <w:szCs w:val="24"/>
          <w:highlight w:val="none"/>
          <w:lang w:val="en-US" w:eastAsia="zh-CN" w:bidi="ar-SA"/>
        </w:rPr>
        <w:t>日（暂定）</w:t>
      </w:r>
    </w:p>
    <w:p w14:paraId="62E15673">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14:paraId="5113BCC9">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14:paraId="7CF2506E">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14:paraId="558DC55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p>
    <w:p w14:paraId="5C9C5A3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w:t>
      </w:r>
      <w:r>
        <w:rPr>
          <w:rFonts w:hint="eastAsia" w:hAnsi="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en-US" w:eastAsia="zh-CN" w:bidi="ar-SA"/>
        </w:rPr>
        <w:t>年</w:t>
      </w:r>
      <w:r>
        <w:rPr>
          <w:rFonts w:hint="eastAsia" w:hAnsi="宋体" w:cs="宋体"/>
          <w:snapToGrid w:val="0"/>
          <w:color w:val="auto"/>
          <w:kern w:val="2"/>
          <w:sz w:val="24"/>
          <w:szCs w:val="24"/>
          <w:highlight w:val="none"/>
          <w:lang w:val="en-US" w:eastAsia="zh-CN" w:bidi="ar-SA"/>
        </w:rPr>
        <w:t>10</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28</w:t>
      </w:r>
      <w:r>
        <w:rPr>
          <w:rFonts w:hint="eastAsia" w:ascii="宋体" w:hAnsi="宋体" w:eastAsia="宋体" w:cs="宋体"/>
          <w:snapToGrid w:val="0"/>
          <w:color w:val="auto"/>
          <w:kern w:val="2"/>
          <w:sz w:val="24"/>
          <w:szCs w:val="24"/>
          <w:highlight w:val="none"/>
          <w:lang w:val="en-US" w:eastAsia="zh-CN" w:bidi="ar-SA"/>
        </w:rPr>
        <w:t>日在如下网站发布：</w:t>
      </w:r>
    </w:p>
    <w:p w14:paraId="22B6A6E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14:paraId="42ABBC08">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14:paraId="61E5AC7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14:paraId="0F1B5E7A">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本公告有效期至本项目开标当日8:30截止。</w:t>
      </w:r>
    </w:p>
    <w:p w14:paraId="244067E8">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9.附件</w:t>
      </w:r>
    </w:p>
    <w:p w14:paraId="01A5A802">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w:t>
      </w:r>
      <w:r>
        <w:rPr>
          <w:rFonts w:hint="eastAsia" w:ascii="宋体" w:hAnsi="宋体" w:eastAsia="宋体" w:cs="宋体"/>
          <w:snapToGrid w:val="0"/>
          <w:color w:val="auto"/>
          <w:kern w:val="2"/>
          <w:sz w:val="24"/>
          <w:szCs w:val="24"/>
          <w:highlight w:val="none"/>
          <w:lang w:val="en-US" w:eastAsia="zh-CN" w:bidi="ar-SA"/>
        </w:rPr>
        <w:t>资格预审必要合格条件标准</w:t>
      </w:r>
    </w:p>
    <w:p w14:paraId="130341F7">
      <w:pPr>
        <w:spacing w:line="360" w:lineRule="auto"/>
        <w:ind w:right="6" w:firstLine="480" w:firstLineChars="200"/>
        <w:jc w:val="left"/>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zh-CN" w:eastAsia="zh-CN" w:bidi="ar-SA"/>
        </w:rPr>
        <w:t>附件二：投标预审</w:t>
      </w:r>
      <w:r>
        <w:rPr>
          <w:rFonts w:hint="eastAsia" w:ascii="宋体" w:hAnsi="宋体" w:cs="宋体"/>
          <w:snapToGrid w:val="0"/>
          <w:color w:val="auto"/>
          <w:kern w:val="2"/>
          <w:sz w:val="24"/>
          <w:szCs w:val="24"/>
          <w:highlight w:val="none"/>
          <w:lang w:val="en-US" w:eastAsia="zh-CN" w:bidi="ar-SA"/>
        </w:rPr>
        <w:t>基础</w:t>
      </w:r>
      <w:r>
        <w:rPr>
          <w:rFonts w:hint="eastAsia" w:ascii="宋体" w:hAnsi="宋体" w:eastAsia="宋体" w:cs="宋体"/>
          <w:snapToGrid w:val="0"/>
          <w:color w:val="auto"/>
          <w:kern w:val="2"/>
          <w:sz w:val="24"/>
          <w:szCs w:val="24"/>
          <w:highlight w:val="none"/>
          <w:lang w:val="zh-CN" w:eastAsia="zh-CN" w:bidi="ar-SA"/>
        </w:rPr>
        <w:t>资料提交模板</w:t>
      </w:r>
    </w:p>
    <w:p w14:paraId="15DC4850">
      <w:pPr>
        <w:spacing w:line="360" w:lineRule="auto"/>
        <w:ind w:right="6" w:firstLine="420" w:firstLineChars="200"/>
        <w:jc w:val="left"/>
        <w:rPr>
          <w:rFonts w:hint="eastAsia" w:ascii="宋体" w:hAnsi="宋体" w:eastAsia="宋体" w:cs="宋体"/>
          <w:color w:val="auto"/>
          <w:highlight w:val="none"/>
        </w:rPr>
      </w:pPr>
    </w:p>
    <w:bookmarkEnd w:id="5"/>
    <w:p w14:paraId="08CA0748">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pacing w:val="22"/>
          <w:sz w:val="24"/>
          <w:highlight w:val="none"/>
        </w:rPr>
        <w:t xml:space="preserve">                   </w:t>
      </w:r>
      <w:r>
        <w:rPr>
          <w:rFonts w:hint="eastAsia" w:ascii="宋体" w:hAnsi="宋体" w:eastAsia="宋体" w:cs="宋体"/>
          <w:b/>
          <w:bCs/>
          <w:color w:val="auto"/>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14:paraId="458D539C">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cs="宋体"/>
          <w:snapToGrid w:val="0"/>
          <w:color w:val="auto"/>
          <w:sz w:val="24"/>
          <w:highlight w:val="none"/>
          <w:lang w:val="en-US" w:eastAsia="zh-CN"/>
        </w:rPr>
        <w:t>五</w:t>
      </w:r>
      <w:r>
        <w:rPr>
          <w:rFonts w:hint="eastAsia" w:ascii="宋体" w:hAnsi="宋体" w:eastAsia="宋体" w:cs="宋体"/>
          <w:snapToGrid w:val="0"/>
          <w:color w:val="auto"/>
          <w:sz w:val="24"/>
          <w:highlight w:val="none"/>
          <w:lang w:val="zh-CN"/>
        </w:rPr>
        <w:t>年</w:t>
      </w:r>
      <w:r>
        <w:rPr>
          <w:rFonts w:hint="eastAsia" w:ascii="宋体" w:hAnsi="宋体" w:cs="宋体"/>
          <w:snapToGrid w:val="0"/>
          <w:color w:val="auto"/>
          <w:sz w:val="24"/>
          <w:highlight w:val="none"/>
          <w:lang w:val="en-US" w:eastAsia="zh-CN"/>
        </w:rPr>
        <w:t>十</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二十八</w:t>
      </w:r>
      <w:r>
        <w:rPr>
          <w:rFonts w:hint="eastAsia" w:ascii="宋体" w:hAnsi="宋体" w:eastAsia="宋体" w:cs="宋体"/>
          <w:snapToGrid w:val="0"/>
          <w:color w:val="auto"/>
          <w:sz w:val="24"/>
          <w:highlight w:val="none"/>
          <w:lang w:val="zh-CN"/>
        </w:rPr>
        <w:t>日</w:t>
      </w:r>
    </w:p>
    <w:p w14:paraId="4D7C49EF">
      <w:pPr>
        <w:rPr>
          <w:rFonts w:hint="eastAsia" w:ascii="宋体" w:hAnsi="宋体" w:eastAsia="宋体" w:cs="宋体"/>
          <w:snapToGrid w:val="0"/>
          <w:color w:val="auto"/>
          <w:sz w:val="24"/>
          <w:highlight w:val="none"/>
          <w:lang w:val="zh-CN"/>
        </w:rPr>
      </w:pPr>
    </w:p>
    <w:p w14:paraId="3A0004F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3995"/>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257D"/>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066A48"/>
    <w:rsid w:val="01543C57"/>
    <w:rsid w:val="019814D6"/>
    <w:rsid w:val="01E66FA5"/>
    <w:rsid w:val="02627672"/>
    <w:rsid w:val="026E0D49"/>
    <w:rsid w:val="028C3F1A"/>
    <w:rsid w:val="02B349AE"/>
    <w:rsid w:val="02C21E29"/>
    <w:rsid w:val="02CA0FCE"/>
    <w:rsid w:val="03BD7D68"/>
    <w:rsid w:val="03D87A7F"/>
    <w:rsid w:val="041E00CF"/>
    <w:rsid w:val="042A3354"/>
    <w:rsid w:val="044D2F90"/>
    <w:rsid w:val="049659FE"/>
    <w:rsid w:val="04ED7817"/>
    <w:rsid w:val="04F93F46"/>
    <w:rsid w:val="0517294F"/>
    <w:rsid w:val="051C31E6"/>
    <w:rsid w:val="05565305"/>
    <w:rsid w:val="05AC1AAE"/>
    <w:rsid w:val="05B82D5C"/>
    <w:rsid w:val="05DE514B"/>
    <w:rsid w:val="06110F79"/>
    <w:rsid w:val="06197E71"/>
    <w:rsid w:val="06C23411"/>
    <w:rsid w:val="07464453"/>
    <w:rsid w:val="0753462F"/>
    <w:rsid w:val="07A76FC7"/>
    <w:rsid w:val="07F9580D"/>
    <w:rsid w:val="08883736"/>
    <w:rsid w:val="08B01305"/>
    <w:rsid w:val="08E91129"/>
    <w:rsid w:val="093920B1"/>
    <w:rsid w:val="096420D3"/>
    <w:rsid w:val="09732517"/>
    <w:rsid w:val="0989704C"/>
    <w:rsid w:val="09A52A71"/>
    <w:rsid w:val="09AA7082"/>
    <w:rsid w:val="09C90306"/>
    <w:rsid w:val="09D83B2B"/>
    <w:rsid w:val="0A4439CA"/>
    <w:rsid w:val="0A5B6057"/>
    <w:rsid w:val="0AAE1F2F"/>
    <w:rsid w:val="0AF57535"/>
    <w:rsid w:val="0B267E18"/>
    <w:rsid w:val="0B56110A"/>
    <w:rsid w:val="0B5735DA"/>
    <w:rsid w:val="0B5A3A20"/>
    <w:rsid w:val="0B854853"/>
    <w:rsid w:val="0B8571D3"/>
    <w:rsid w:val="0C3B6DF4"/>
    <w:rsid w:val="0C400F3B"/>
    <w:rsid w:val="0D2A179D"/>
    <w:rsid w:val="0D330BC5"/>
    <w:rsid w:val="0D611509"/>
    <w:rsid w:val="0D6C4BDE"/>
    <w:rsid w:val="0D6F686A"/>
    <w:rsid w:val="0D7C1B68"/>
    <w:rsid w:val="0D9C49BC"/>
    <w:rsid w:val="0DA34319"/>
    <w:rsid w:val="0DA56E11"/>
    <w:rsid w:val="0E6351E3"/>
    <w:rsid w:val="0E985F41"/>
    <w:rsid w:val="0F2033CB"/>
    <w:rsid w:val="0F360CF7"/>
    <w:rsid w:val="0F6E2388"/>
    <w:rsid w:val="0F9766A9"/>
    <w:rsid w:val="0FA733FA"/>
    <w:rsid w:val="0FE1262B"/>
    <w:rsid w:val="10050D86"/>
    <w:rsid w:val="101A42BE"/>
    <w:rsid w:val="108F5CED"/>
    <w:rsid w:val="10BF3F58"/>
    <w:rsid w:val="10C6509F"/>
    <w:rsid w:val="111B46D9"/>
    <w:rsid w:val="114A1A7A"/>
    <w:rsid w:val="1191078D"/>
    <w:rsid w:val="11C049F1"/>
    <w:rsid w:val="11FC0A60"/>
    <w:rsid w:val="12F13C5B"/>
    <w:rsid w:val="1329615D"/>
    <w:rsid w:val="13D846CC"/>
    <w:rsid w:val="13DE6BD0"/>
    <w:rsid w:val="14494337"/>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869"/>
    <w:rsid w:val="18B72B1E"/>
    <w:rsid w:val="18DC3268"/>
    <w:rsid w:val="192A500E"/>
    <w:rsid w:val="198D2FDB"/>
    <w:rsid w:val="199724DC"/>
    <w:rsid w:val="1A3C44FD"/>
    <w:rsid w:val="1A463E71"/>
    <w:rsid w:val="1A733693"/>
    <w:rsid w:val="1AE1150C"/>
    <w:rsid w:val="1B625DF8"/>
    <w:rsid w:val="1B9E3FF5"/>
    <w:rsid w:val="1C2173E9"/>
    <w:rsid w:val="1CA377EC"/>
    <w:rsid w:val="1CBA59EC"/>
    <w:rsid w:val="1D6914F5"/>
    <w:rsid w:val="1DB41644"/>
    <w:rsid w:val="1EB47F08"/>
    <w:rsid w:val="1EC842AF"/>
    <w:rsid w:val="1F325180"/>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7E16E5"/>
    <w:rsid w:val="22BA5C8E"/>
    <w:rsid w:val="22C531D3"/>
    <w:rsid w:val="234666B5"/>
    <w:rsid w:val="235D6ADE"/>
    <w:rsid w:val="24424F64"/>
    <w:rsid w:val="24525E29"/>
    <w:rsid w:val="2470517A"/>
    <w:rsid w:val="24C04F0F"/>
    <w:rsid w:val="263D2D46"/>
    <w:rsid w:val="26486C05"/>
    <w:rsid w:val="26F5352F"/>
    <w:rsid w:val="27CD092C"/>
    <w:rsid w:val="280D04C1"/>
    <w:rsid w:val="282E712C"/>
    <w:rsid w:val="28523AE9"/>
    <w:rsid w:val="285A4E85"/>
    <w:rsid w:val="28612632"/>
    <w:rsid w:val="28B237E1"/>
    <w:rsid w:val="28DF52D3"/>
    <w:rsid w:val="29295728"/>
    <w:rsid w:val="294C5AD2"/>
    <w:rsid w:val="2A9C252F"/>
    <w:rsid w:val="2AB07DD2"/>
    <w:rsid w:val="2AC27650"/>
    <w:rsid w:val="2AC558EA"/>
    <w:rsid w:val="2AD73080"/>
    <w:rsid w:val="2AEA2392"/>
    <w:rsid w:val="2AF46B3E"/>
    <w:rsid w:val="2B813839"/>
    <w:rsid w:val="2BDA76B3"/>
    <w:rsid w:val="2BDF5274"/>
    <w:rsid w:val="2C4918B8"/>
    <w:rsid w:val="2C656B16"/>
    <w:rsid w:val="2C8B7940"/>
    <w:rsid w:val="2D2265E6"/>
    <w:rsid w:val="2D5A2D5C"/>
    <w:rsid w:val="2D990AC0"/>
    <w:rsid w:val="2DCA3A1B"/>
    <w:rsid w:val="2E1B5DA6"/>
    <w:rsid w:val="2E5A510E"/>
    <w:rsid w:val="2F7208FE"/>
    <w:rsid w:val="301F17FB"/>
    <w:rsid w:val="30BE44AF"/>
    <w:rsid w:val="30CE10BF"/>
    <w:rsid w:val="314F3970"/>
    <w:rsid w:val="31592A40"/>
    <w:rsid w:val="315A66C4"/>
    <w:rsid w:val="317D2747"/>
    <w:rsid w:val="318F0B4B"/>
    <w:rsid w:val="319136F9"/>
    <w:rsid w:val="31C801B1"/>
    <w:rsid w:val="31E27673"/>
    <w:rsid w:val="3233535A"/>
    <w:rsid w:val="329E6C16"/>
    <w:rsid w:val="329F4483"/>
    <w:rsid w:val="32B274F6"/>
    <w:rsid w:val="32B36E6B"/>
    <w:rsid w:val="33176707"/>
    <w:rsid w:val="332D0E86"/>
    <w:rsid w:val="334119DE"/>
    <w:rsid w:val="33742C7C"/>
    <w:rsid w:val="337800A0"/>
    <w:rsid w:val="33791178"/>
    <w:rsid w:val="34734238"/>
    <w:rsid w:val="34746AFE"/>
    <w:rsid w:val="34C04B85"/>
    <w:rsid w:val="35671161"/>
    <w:rsid w:val="35A33F39"/>
    <w:rsid w:val="35E0012B"/>
    <w:rsid w:val="35F86058"/>
    <w:rsid w:val="36767721"/>
    <w:rsid w:val="36E72CC3"/>
    <w:rsid w:val="37044E3B"/>
    <w:rsid w:val="37AC7D76"/>
    <w:rsid w:val="37C63FA2"/>
    <w:rsid w:val="386A108F"/>
    <w:rsid w:val="38794B20"/>
    <w:rsid w:val="38A43251"/>
    <w:rsid w:val="393022D9"/>
    <w:rsid w:val="393265F3"/>
    <w:rsid w:val="3935486C"/>
    <w:rsid w:val="39A046C7"/>
    <w:rsid w:val="39C30CDE"/>
    <w:rsid w:val="39FE4185"/>
    <w:rsid w:val="3A0B14B0"/>
    <w:rsid w:val="3A4F1AFE"/>
    <w:rsid w:val="3A6B79CC"/>
    <w:rsid w:val="3A726921"/>
    <w:rsid w:val="3AA84277"/>
    <w:rsid w:val="3B051543"/>
    <w:rsid w:val="3B055BA9"/>
    <w:rsid w:val="3B3F3616"/>
    <w:rsid w:val="3C4C13C4"/>
    <w:rsid w:val="3C7B7673"/>
    <w:rsid w:val="3C7C41C0"/>
    <w:rsid w:val="3CC14B5E"/>
    <w:rsid w:val="3D135871"/>
    <w:rsid w:val="3D365C44"/>
    <w:rsid w:val="3D5B1EF8"/>
    <w:rsid w:val="3D712EC0"/>
    <w:rsid w:val="3DE117DC"/>
    <w:rsid w:val="3DE6740A"/>
    <w:rsid w:val="3E03620E"/>
    <w:rsid w:val="3E791F37"/>
    <w:rsid w:val="3EC251BA"/>
    <w:rsid w:val="3ECF7E9E"/>
    <w:rsid w:val="3F163D1F"/>
    <w:rsid w:val="3F4E29DA"/>
    <w:rsid w:val="405D1A2A"/>
    <w:rsid w:val="40B530C4"/>
    <w:rsid w:val="410B4CA0"/>
    <w:rsid w:val="410C15A9"/>
    <w:rsid w:val="410D066E"/>
    <w:rsid w:val="41207989"/>
    <w:rsid w:val="412D49ED"/>
    <w:rsid w:val="414D1E51"/>
    <w:rsid w:val="41A40C60"/>
    <w:rsid w:val="41FD4ED7"/>
    <w:rsid w:val="42303A50"/>
    <w:rsid w:val="42597AFF"/>
    <w:rsid w:val="426E5C20"/>
    <w:rsid w:val="42707BEA"/>
    <w:rsid w:val="42813749"/>
    <w:rsid w:val="428600AD"/>
    <w:rsid w:val="42D63C0B"/>
    <w:rsid w:val="42F77EAD"/>
    <w:rsid w:val="43301127"/>
    <w:rsid w:val="436F39FE"/>
    <w:rsid w:val="43BD1D3F"/>
    <w:rsid w:val="43CF3AAE"/>
    <w:rsid w:val="44086688"/>
    <w:rsid w:val="443C1768"/>
    <w:rsid w:val="44CE29A6"/>
    <w:rsid w:val="44CE2C7F"/>
    <w:rsid w:val="44D70D1F"/>
    <w:rsid w:val="453C3BC7"/>
    <w:rsid w:val="45410276"/>
    <w:rsid w:val="45443957"/>
    <w:rsid w:val="454A29FC"/>
    <w:rsid w:val="45866721"/>
    <w:rsid w:val="465E0359"/>
    <w:rsid w:val="468A305B"/>
    <w:rsid w:val="4698326B"/>
    <w:rsid w:val="47292D03"/>
    <w:rsid w:val="475A78B9"/>
    <w:rsid w:val="477E7C70"/>
    <w:rsid w:val="479819BE"/>
    <w:rsid w:val="47A138DF"/>
    <w:rsid w:val="47A23C1C"/>
    <w:rsid w:val="47BE06FD"/>
    <w:rsid w:val="47F43527"/>
    <w:rsid w:val="48142DC6"/>
    <w:rsid w:val="48C04CFB"/>
    <w:rsid w:val="48FD2FD0"/>
    <w:rsid w:val="49070067"/>
    <w:rsid w:val="491C52F8"/>
    <w:rsid w:val="491F7C74"/>
    <w:rsid w:val="49444EFA"/>
    <w:rsid w:val="494A2C73"/>
    <w:rsid w:val="497F6FB9"/>
    <w:rsid w:val="49C20C41"/>
    <w:rsid w:val="49FB113D"/>
    <w:rsid w:val="4A976CC9"/>
    <w:rsid w:val="4AA64EC5"/>
    <w:rsid w:val="4B56521C"/>
    <w:rsid w:val="4BE05866"/>
    <w:rsid w:val="4C012F97"/>
    <w:rsid w:val="4C3457E4"/>
    <w:rsid w:val="4C391517"/>
    <w:rsid w:val="4C3E6663"/>
    <w:rsid w:val="4D277CB4"/>
    <w:rsid w:val="4D8930F2"/>
    <w:rsid w:val="4DA64454"/>
    <w:rsid w:val="4DB017E2"/>
    <w:rsid w:val="4DF711BF"/>
    <w:rsid w:val="4E0665A0"/>
    <w:rsid w:val="4E0A7947"/>
    <w:rsid w:val="4E3A10AC"/>
    <w:rsid w:val="4E5F2605"/>
    <w:rsid w:val="4E8011B5"/>
    <w:rsid w:val="4EDD0047"/>
    <w:rsid w:val="4F5D71B5"/>
    <w:rsid w:val="4F667F44"/>
    <w:rsid w:val="4FEE57DE"/>
    <w:rsid w:val="4FFF11E4"/>
    <w:rsid w:val="506E0882"/>
    <w:rsid w:val="50700DB5"/>
    <w:rsid w:val="507120D0"/>
    <w:rsid w:val="50DC11B8"/>
    <w:rsid w:val="50E13A61"/>
    <w:rsid w:val="50EE7CD8"/>
    <w:rsid w:val="513A1AEF"/>
    <w:rsid w:val="51B4176D"/>
    <w:rsid w:val="51C57647"/>
    <w:rsid w:val="51E47CAD"/>
    <w:rsid w:val="528841C1"/>
    <w:rsid w:val="52C35F04"/>
    <w:rsid w:val="53195815"/>
    <w:rsid w:val="53A55D0D"/>
    <w:rsid w:val="53CC76D7"/>
    <w:rsid w:val="53F34DED"/>
    <w:rsid w:val="540714A5"/>
    <w:rsid w:val="54A159E1"/>
    <w:rsid w:val="54ED6E78"/>
    <w:rsid w:val="54FE4BE1"/>
    <w:rsid w:val="552A5867"/>
    <w:rsid w:val="55325E6D"/>
    <w:rsid w:val="558927EA"/>
    <w:rsid w:val="55D0784B"/>
    <w:rsid w:val="55F304BE"/>
    <w:rsid w:val="56132B92"/>
    <w:rsid w:val="5658346B"/>
    <w:rsid w:val="567278AC"/>
    <w:rsid w:val="56CB1D55"/>
    <w:rsid w:val="575170AF"/>
    <w:rsid w:val="57723D31"/>
    <w:rsid w:val="5776244B"/>
    <w:rsid w:val="57B14F5A"/>
    <w:rsid w:val="58E0500A"/>
    <w:rsid w:val="590E560F"/>
    <w:rsid w:val="591E1628"/>
    <w:rsid w:val="59554FEC"/>
    <w:rsid w:val="59626E8B"/>
    <w:rsid w:val="598B6C60"/>
    <w:rsid w:val="59B4764B"/>
    <w:rsid w:val="59CB09C8"/>
    <w:rsid w:val="5A8C2EC2"/>
    <w:rsid w:val="5AAE70AA"/>
    <w:rsid w:val="5B850144"/>
    <w:rsid w:val="5BF63263"/>
    <w:rsid w:val="5C4A4149"/>
    <w:rsid w:val="5C5664BF"/>
    <w:rsid w:val="5CCB46AA"/>
    <w:rsid w:val="5D293CFC"/>
    <w:rsid w:val="5D3012A2"/>
    <w:rsid w:val="5D373979"/>
    <w:rsid w:val="5E11720B"/>
    <w:rsid w:val="5E377EA6"/>
    <w:rsid w:val="5EC74550"/>
    <w:rsid w:val="5F164BB7"/>
    <w:rsid w:val="5F473629"/>
    <w:rsid w:val="5FA840C8"/>
    <w:rsid w:val="60713AC6"/>
    <w:rsid w:val="61DF62F2"/>
    <w:rsid w:val="625D42FE"/>
    <w:rsid w:val="62967442"/>
    <w:rsid w:val="62AC26D4"/>
    <w:rsid w:val="631C679C"/>
    <w:rsid w:val="633536D6"/>
    <w:rsid w:val="63B86D37"/>
    <w:rsid w:val="63C41057"/>
    <w:rsid w:val="63CA05F2"/>
    <w:rsid w:val="63F0513D"/>
    <w:rsid w:val="63F20F8A"/>
    <w:rsid w:val="640F0BB9"/>
    <w:rsid w:val="64651B67"/>
    <w:rsid w:val="64B71939"/>
    <w:rsid w:val="64C463A1"/>
    <w:rsid w:val="651F7D11"/>
    <w:rsid w:val="655D7702"/>
    <w:rsid w:val="65B97A6E"/>
    <w:rsid w:val="65D40818"/>
    <w:rsid w:val="66134265"/>
    <w:rsid w:val="665E57E6"/>
    <w:rsid w:val="66604979"/>
    <w:rsid w:val="667F18FA"/>
    <w:rsid w:val="669E534C"/>
    <w:rsid w:val="66B235CF"/>
    <w:rsid w:val="66BE78FF"/>
    <w:rsid w:val="66E11953"/>
    <w:rsid w:val="66E43858"/>
    <w:rsid w:val="6733189B"/>
    <w:rsid w:val="674F5770"/>
    <w:rsid w:val="67D3534A"/>
    <w:rsid w:val="683B69EF"/>
    <w:rsid w:val="68420E31"/>
    <w:rsid w:val="685B1954"/>
    <w:rsid w:val="686B55F0"/>
    <w:rsid w:val="68B372FA"/>
    <w:rsid w:val="68C33D20"/>
    <w:rsid w:val="68D75A1D"/>
    <w:rsid w:val="68EC7D39"/>
    <w:rsid w:val="695B054C"/>
    <w:rsid w:val="69616B20"/>
    <w:rsid w:val="6976772C"/>
    <w:rsid w:val="69836EA8"/>
    <w:rsid w:val="69A753F0"/>
    <w:rsid w:val="6A0335FC"/>
    <w:rsid w:val="6A0960AB"/>
    <w:rsid w:val="6A721FFD"/>
    <w:rsid w:val="6B07420D"/>
    <w:rsid w:val="6B327847"/>
    <w:rsid w:val="6BA4196F"/>
    <w:rsid w:val="6BB97828"/>
    <w:rsid w:val="6BBB5183"/>
    <w:rsid w:val="6CE55009"/>
    <w:rsid w:val="6D513FF0"/>
    <w:rsid w:val="6DCC328E"/>
    <w:rsid w:val="6DF52302"/>
    <w:rsid w:val="6E0407B8"/>
    <w:rsid w:val="6E1366CB"/>
    <w:rsid w:val="6E5507F4"/>
    <w:rsid w:val="6EB3664B"/>
    <w:rsid w:val="6F256318"/>
    <w:rsid w:val="6FC00FB9"/>
    <w:rsid w:val="7017014C"/>
    <w:rsid w:val="704F098F"/>
    <w:rsid w:val="707D53C4"/>
    <w:rsid w:val="70B11E5E"/>
    <w:rsid w:val="70C93A84"/>
    <w:rsid w:val="70D870D3"/>
    <w:rsid w:val="70E021BB"/>
    <w:rsid w:val="713F23B2"/>
    <w:rsid w:val="71E52F59"/>
    <w:rsid w:val="72264D1E"/>
    <w:rsid w:val="72285038"/>
    <w:rsid w:val="723722C8"/>
    <w:rsid w:val="729E10AE"/>
    <w:rsid w:val="72AB1BAA"/>
    <w:rsid w:val="72D336FA"/>
    <w:rsid w:val="72F6796A"/>
    <w:rsid w:val="73382421"/>
    <w:rsid w:val="73893354"/>
    <w:rsid w:val="74675DB6"/>
    <w:rsid w:val="74B54B02"/>
    <w:rsid w:val="75B35B70"/>
    <w:rsid w:val="76165DD7"/>
    <w:rsid w:val="7631571B"/>
    <w:rsid w:val="7642380A"/>
    <w:rsid w:val="771E05F7"/>
    <w:rsid w:val="77320462"/>
    <w:rsid w:val="77677CFF"/>
    <w:rsid w:val="77716DDE"/>
    <w:rsid w:val="77B108CC"/>
    <w:rsid w:val="77E84B73"/>
    <w:rsid w:val="77F12EB8"/>
    <w:rsid w:val="783D3287"/>
    <w:rsid w:val="784A68B7"/>
    <w:rsid w:val="785C73E5"/>
    <w:rsid w:val="786332E6"/>
    <w:rsid w:val="78636430"/>
    <w:rsid w:val="78D01458"/>
    <w:rsid w:val="790F4D60"/>
    <w:rsid w:val="797001A7"/>
    <w:rsid w:val="798D11A1"/>
    <w:rsid w:val="799A6D1F"/>
    <w:rsid w:val="79C30024"/>
    <w:rsid w:val="79F07000"/>
    <w:rsid w:val="79FF6B82"/>
    <w:rsid w:val="7A62342F"/>
    <w:rsid w:val="7A953E83"/>
    <w:rsid w:val="7AEB21A6"/>
    <w:rsid w:val="7B185F2C"/>
    <w:rsid w:val="7BD05EC4"/>
    <w:rsid w:val="7BDB3797"/>
    <w:rsid w:val="7BEA70A1"/>
    <w:rsid w:val="7C224DAA"/>
    <w:rsid w:val="7C6B6751"/>
    <w:rsid w:val="7C7E0232"/>
    <w:rsid w:val="7CF819F0"/>
    <w:rsid w:val="7D4A1313"/>
    <w:rsid w:val="7DA64C45"/>
    <w:rsid w:val="7DB93F31"/>
    <w:rsid w:val="7E2766A8"/>
    <w:rsid w:val="7E584C66"/>
    <w:rsid w:val="7E5D1CB2"/>
    <w:rsid w:val="7E7B68B7"/>
    <w:rsid w:val="7E825C71"/>
    <w:rsid w:val="7F2D5F40"/>
    <w:rsid w:val="7F6D27E0"/>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2412</Words>
  <Characters>2804</Characters>
  <Lines>1246</Lines>
  <Paragraphs>351</Paragraphs>
  <TotalTime>5</TotalTime>
  <ScaleCrop>false</ScaleCrop>
  <LinksUpToDate>false</LinksUpToDate>
  <CharactersWithSpaces>2865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2025-10-27T07:53:20Z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eyJoZGlkIjoiY2NmMjA2YmY3MjcwZjU3MjM5ZjlmMzUzOWUxZjhjZTciLCJ1c2VySWQiOiIzMzY3MTI5OTgifQ==</vt:lpwstr>
  </property>
</Properties>
</file>