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30951E">
      <w:pPr>
        <w:adjustRightInd w:val="0"/>
        <w:snapToGrid w:val="0"/>
        <w:spacing w:line="360" w:lineRule="auto"/>
        <w:jc w:val="center"/>
        <w:rPr>
          <w:rFonts w:hint="eastAsia" w:ascii="仿宋" w:hAnsi="仿宋" w:eastAsia="仿宋" w:cs="仿宋"/>
          <w:b/>
          <w:bCs/>
          <w:i/>
          <w:iCs/>
          <w:sz w:val="28"/>
          <w:szCs w:val="28"/>
        </w:rPr>
      </w:pPr>
      <w:r>
        <w:rPr>
          <w:rFonts w:hint="eastAsia" w:ascii="仿宋" w:hAnsi="仿宋" w:eastAsia="仿宋" w:cs="仿宋"/>
          <w:b/>
          <w:bCs/>
          <w:sz w:val="28"/>
          <w:szCs w:val="28"/>
        </w:rPr>
        <w:t>舍得酒业股份有限公司</w:t>
      </w:r>
    </w:p>
    <w:p w14:paraId="72CEA798">
      <w:pPr>
        <w:adjustRightInd w:val="0"/>
        <w:snapToGrid w:val="0"/>
        <w:spacing w:line="360" w:lineRule="auto"/>
        <w:jc w:val="center"/>
        <w:rPr>
          <w:rFonts w:hint="eastAsia" w:ascii="仿宋" w:hAnsi="仿宋" w:eastAsia="仿宋"/>
          <w:b/>
          <w:bCs/>
          <w:sz w:val="28"/>
          <w:szCs w:val="28"/>
          <w:lang w:val="en-US" w:eastAsia="zh-CN"/>
        </w:rPr>
      </w:pPr>
      <w:r>
        <w:rPr>
          <w:rFonts w:hint="eastAsia" w:ascii="仿宋" w:hAnsi="仿宋" w:eastAsia="仿宋"/>
          <w:b/>
          <w:bCs/>
          <w:sz w:val="28"/>
          <w:szCs w:val="28"/>
          <w:lang w:val="en-US" w:eastAsia="zh-CN"/>
        </w:rPr>
        <w:t>厂区弱电设备设施安全风险整改项目</w:t>
      </w:r>
    </w:p>
    <w:p w14:paraId="42B39727">
      <w:pPr>
        <w:adjustRightInd w:val="0"/>
        <w:snapToGrid w:val="0"/>
        <w:spacing w:line="360" w:lineRule="auto"/>
        <w:jc w:val="center"/>
        <w:rPr>
          <w:rFonts w:hint="default" w:ascii="仿宋" w:hAnsi="仿宋" w:eastAsia="仿宋"/>
          <w:b/>
          <w:bCs/>
          <w:sz w:val="28"/>
          <w:szCs w:val="28"/>
          <w:lang w:val="en-US" w:eastAsia="zh-CN"/>
        </w:rPr>
      </w:pPr>
      <w:r>
        <w:rPr>
          <w:rFonts w:ascii="仿宋" w:hAnsi="仿宋" w:eastAsia="仿宋"/>
          <w:b/>
          <w:bCs/>
          <w:sz w:val="28"/>
          <w:szCs w:val="28"/>
        </w:rPr>
        <w:t>招标公告</w:t>
      </w:r>
    </w:p>
    <w:p w14:paraId="792064BB">
      <w:pPr>
        <w:widowControl/>
        <w:spacing w:line="360" w:lineRule="auto"/>
        <w:jc w:val="center"/>
        <w:rPr>
          <w:rFonts w:hint="default" w:ascii="仿宋" w:hAnsi="仿宋" w:eastAsia="仿宋"/>
          <w:sz w:val="28"/>
          <w:szCs w:val="28"/>
          <w:lang w:val="en-US" w:eastAsia="zh-CN"/>
        </w:rPr>
      </w:pPr>
      <w:r>
        <w:rPr>
          <w:rFonts w:ascii="仿宋" w:hAnsi="仿宋" w:eastAsia="仿宋"/>
          <w:sz w:val="28"/>
          <w:szCs w:val="28"/>
        </w:rPr>
        <w:t>舍司招</w:t>
      </w:r>
      <w:r>
        <w:rPr>
          <w:rFonts w:hint="eastAsia" w:ascii="仿宋" w:hAnsi="仿宋" w:eastAsia="仿宋"/>
          <w:sz w:val="28"/>
          <w:szCs w:val="28"/>
          <w:lang w:eastAsia="zh-CN"/>
        </w:rPr>
        <w:t>（</w:t>
      </w:r>
      <w:r>
        <w:rPr>
          <w:rFonts w:ascii="仿宋" w:hAnsi="仿宋" w:eastAsia="仿宋"/>
          <w:sz w:val="28"/>
          <w:szCs w:val="28"/>
        </w:rPr>
        <w:t>202</w:t>
      </w:r>
      <w:r>
        <w:rPr>
          <w:rFonts w:hint="eastAsia" w:ascii="仿宋" w:hAnsi="仿宋" w:eastAsia="仿宋"/>
          <w:sz w:val="28"/>
          <w:szCs w:val="28"/>
          <w:lang w:val="en-US" w:eastAsia="zh-CN"/>
        </w:rPr>
        <w:t>6</w:t>
      </w:r>
      <w:r>
        <w:rPr>
          <w:rFonts w:ascii="仿宋" w:hAnsi="仿宋" w:eastAsia="仿宋"/>
          <w:sz w:val="28"/>
          <w:szCs w:val="28"/>
        </w:rPr>
        <w:t>)-ZC3-</w:t>
      </w:r>
      <w:r>
        <w:rPr>
          <w:rFonts w:hint="eastAsia" w:ascii="仿宋" w:hAnsi="仿宋" w:eastAsia="仿宋"/>
          <w:sz w:val="28"/>
          <w:szCs w:val="28"/>
          <w:lang w:val="en-US" w:eastAsia="zh-CN"/>
        </w:rPr>
        <w:t>14</w:t>
      </w:r>
    </w:p>
    <w:p w14:paraId="74FFA07D">
      <w:pPr>
        <w:spacing w:line="360" w:lineRule="auto"/>
        <w:rPr>
          <w:rFonts w:hint="eastAsia" w:ascii="仿宋" w:hAnsi="仿宋" w:eastAsia="仿宋"/>
          <w:sz w:val="28"/>
          <w:szCs w:val="28"/>
        </w:rPr>
      </w:pPr>
      <w:bookmarkStart w:id="0" w:name="_Toc21899"/>
      <w:bookmarkStart w:id="1" w:name="_Toc3953"/>
      <w:bookmarkStart w:id="2" w:name="_Toc31590"/>
      <w:bookmarkStart w:id="3" w:name="_Toc17501"/>
      <w:bookmarkStart w:id="4" w:name="_Toc22484"/>
      <w:bookmarkStart w:id="5" w:name="_Toc32115"/>
      <w:r>
        <w:rPr>
          <w:rFonts w:hint="eastAsia" w:ascii="仿宋" w:hAnsi="仿宋" w:eastAsia="仿宋"/>
          <w:sz w:val="28"/>
          <w:szCs w:val="28"/>
        </w:rPr>
        <w:t>一、招标条件</w:t>
      </w:r>
      <w:bookmarkEnd w:id="0"/>
      <w:bookmarkEnd w:id="1"/>
      <w:bookmarkEnd w:id="2"/>
      <w:bookmarkEnd w:id="3"/>
      <w:bookmarkEnd w:id="4"/>
      <w:bookmarkEnd w:id="5"/>
    </w:p>
    <w:p w14:paraId="0A099983">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本招标项目</w:t>
      </w:r>
      <w:r>
        <w:rPr>
          <w:rFonts w:hint="eastAsia" w:ascii="仿宋" w:hAnsi="仿宋" w:eastAsia="仿宋"/>
          <w:b/>
          <w:bCs/>
          <w:sz w:val="28"/>
          <w:szCs w:val="28"/>
          <w:u w:val="single"/>
        </w:rPr>
        <w:t>厂区弱电设备设施安全风险整改项目</w:t>
      </w:r>
      <w:r>
        <w:rPr>
          <w:rFonts w:hint="eastAsia" w:ascii="仿宋" w:hAnsi="仿宋" w:eastAsia="仿宋"/>
          <w:sz w:val="28"/>
          <w:szCs w:val="28"/>
        </w:rPr>
        <w:t>已由</w:t>
      </w:r>
      <w:r>
        <w:rPr>
          <w:rFonts w:hint="eastAsia" w:ascii="仿宋" w:hAnsi="仿宋" w:eastAsia="仿宋"/>
          <w:sz w:val="28"/>
          <w:szCs w:val="28"/>
          <w:u w:val="single"/>
        </w:rPr>
        <w:t>舍得酒业股份有限公司</w:t>
      </w:r>
      <w:r>
        <w:rPr>
          <w:rFonts w:hint="eastAsia" w:ascii="仿宋" w:hAnsi="仿宋" w:eastAsia="仿宋"/>
          <w:sz w:val="28"/>
          <w:szCs w:val="28"/>
        </w:rPr>
        <w:t>确定实施，项目业主为</w:t>
      </w:r>
      <w:r>
        <w:rPr>
          <w:rFonts w:hint="eastAsia" w:ascii="仿宋" w:hAnsi="仿宋" w:eastAsia="仿宋"/>
          <w:sz w:val="28"/>
          <w:szCs w:val="28"/>
          <w:u w:val="single"/>
        </w:rPr>
        <w:t> 舍得酒业股份有限公司 </w:t>
      </w:r>
      <w:r>
        <w:rPr>
          <w:rFonts w:hint="eastAsia" w:ascii="仿宋" w:hAnsi="仿宋" w:eastAsia="仿宋"/>
          <w:sz w:val="28"/>
          <w:szCs w:val="28"/>
        </w:rPr>
        <w:t>，建设资金来自</w:t>
      </w:r>
      <w:r>
        <w:rPr>
          <w:rFonts w:hint="eastAsia" w:ascii="仿宋" w:hAnsi="仿宋" w:eastAsia="仿宋"/>
          <w:sz w:val="28"/>
          <w:szCs w:val="28"/>
          <w:u w:val="single"/>
        </w:rPr>
        <w:t> 业主自筹</w:t>
      </w:r>
      <w:r>
        <w:rPr>
          <w:rFonts w:hint="eastAsia" w:ascii="仿宋" w:hAnsi="仿宋" w:eastAsia="仿宋"/>
          <w:sz w:val="28"/>
          <w:szCs w:val="28"/>
        </w:rPr>
        <w:t> ，项目出资比例为</w:t>
      </w:r>
      <w:r>
        <w:rPr>
          <w:rFonts w:hint="eastAsia" w:ascii="仿宋" w:hAnsi="仿宋" w:eastAsia="仿宋"/>
          <w:sz w:val="28"/>
          <w:szCs w:val="28"/>
          <w:u w:val="single"/>
        </w:rPr>
        <w:t> 100% </w:t>
      </w:r>
      <w:r>
        <w:rPr>
          <w:rFonts w:hint="eastAsia" w:ascii="仿宋" w:hAnsi="仿宋" w:eastAsia="仿宋"/>
          <w:sz w:val="28"/>
          <w:szCs w:val="28"/>
        </w:rPr>
        <w:t>，招标人为</w:t>
      </w:r>
      <w:r>
        <w:rPr>
          <w:rFonts w:hint="eastAsia" w:ascii="仿宋" w:hAnsi="仿宋" w:eastAsia="仿宋"/>
          <w:sz w:val="28"/>
          <w:szCs w:val="28"/>
          <w:u w:val="single"/>
        </w:rPr>
        <w:t>舍得酒业股份有限公司</w:t>
      </w:r>
      <w:r>
        <w:rPr>
          <w:rFonts w:hint="eastAsia" w:ascii="仿宋" w:hAnsi="仿宋" w:eastAsia="仿宋"/>
          <w:sz w:val="28"/>
          <w:szCs w:val="28"/>
        </w:rPr>
        <w:t>。项目已具备招标条件，现对该项目进行公开招标，欢迎有兴趣的潜在投标人递交书面的资格预审文件，并通过资格预审程序确定合格的投标人邀请名单。</w:t>
      </w:r>
    </w:p>
    <w:p w14:paraId="1B92E76E">
      <w:pPr>
        <w:spacing w:line="360" w:lineRule="auto"/>
        <w:rPr>
          <w:rFonts w:hint="eastAsia" w:ascii="仿宋" w:hAnsi="仿宋" w:eastAsia="仿宋"/>
          <w:sz w:val="28"/>
          <w:szCs w:val="28"/>
        </w:rPr>
      </w:pPr>
      <w:bookmarkStart w:id="6" w:name="_Toc7165"/>
      <w:bookmarkStart w:id="7" w:name="_Toc14699"/>
      <w:bookmarkStart w:id="8" w:name="_Toc12264"/>
      <w:bookmarkStart w:id="9" w:name="_Toc6803"/>
      <w:bookmarkStart w:id="10" w:name="_Toc1392"/>
      <w:bookmarkStart w:id="11" w:name="_Toc25488"/>
      <w:r>
        <w:rPr>
          <w:rFonts w:hint="eastAsia" w:ascii="仿宋" w:hAnsi="仿宋" w:eastAsia="仿宋"/>
          <w:sz w:val="28"/>
          <w:szCs w:val="28"/>
        </w:rPr>
        <w:t>二、项目概况与招标范围</w:t>
      </w:r>
      <w:bookmarkEnd w:id="6"/>
      <w:bookmarkEnd w:id="7"/>
      <w:bookmarkEnd w:id="8"/>
      <w:bookmarkEnd w:id="9"/>
      <w:bookmarkEnd w:id="10"/>
      <w:bookmarkEnd w:id="11"/>
    </w:p>
    <w:p w14:paraId="74911603">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2.1 项目名称：厂区弱电设备设施安全风险整改项目</w:t>
      </w:r>
    </w:p>
    <w:p w14:paraId="1DADAC4D">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2.2 项目地址：四川省射洪市沱牌镇沱牌大道999号</w:t>
      </w:r>
    </w:p>
    <w:p w14:paraId="2DCE148F">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2.3 建设单位：舍得酒业股份有限公司</w:t>
      </w:r>
    </w:p>
    <w:p w14:paraId="668AE286">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 xml:space="preserve"> 项目概况：</w:t>
      </w:r>
      <w:r>
        <w:rPr>
          <w:rFonts w:hint="eastAsia" w:ascii="仿宋" w:hAnsi="仿宋" w:eastAsia="仿宋"/>
          <w:sz w:val="28"/>
          <w:szCs w:val="28"/>
          <w:lang w:val="en-US" w:eastAsia="zh-CN"/>
        </w:rPr>
        <w:t>对园区所有弱电系统存在的安全隐患进行全面排查与专项整改，通过系统性排查梳理园区弱电系统各类安全隐患，针对性开展设备更换、线路整改、系统优化等工作，彻底消除安全隐患，确保园区相关弱电系统设备设施、施工质量及运行状态，严格符合《建筑电气工程施工质量验收规范》（GB 50303-2015）及国家、行业现行相关法律法规、技术标准要求，保障园区弱电系统安全、稳定、高效运行，为园区生产、办公提供可靠的弱电支撑。</w:t>
      </w:r>
    </w:p>
    <w:p w14:paraId="1B7786B9">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 xml:space="preserve"> 招标范围：</w:t>
      </w:r>
    </w:p>
    <w:p w14:paraId="4C9AB4B0">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监控系统、网络系统、会议系统、门禁系统、信息化展示系统、环控系统、光纤、信号线、桥架、配电柜、机柜等所有设备设施的设备更换、线路整改、系统优化等工作。不限于设备设施的细化设计、采购、制造、厂检、运输、供货、卸货、吊装、安装、开孔、修复、调试、报检、竣工资料提供、备品备件及专用工具提供、人员培训、售后服务等。具体内容详见：招标文件。</w:t>
      </w:r>
    </w:p>
    <w:p w14:paraId="5BF2E191">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 xml:space="preserve"> 质量保证期：</w:t>
      </w:r>
      <w:r>
        <w:rPr>
          <w:rFonts w:hint="eastAsia" w:ascii="仿宋" w:hAnsi="仿宋" w:eastAsia="仿宋"/>
          <w:sz w:val="28"/>
          <w:szCs w:val="28"/>
          <w:lang w:val="en-US" w:eastAsia="zh-CN"/>
        </w:rPr>
        <w:t>36</w:t>
      </w:r>
      <w:r>
        <w:rPr>
          <w:rFonts w:hint="eastAsia" w:ascii="仿宋" w:hAnsi="仿宋" w:eastAsia="仿宋"/>
          <w:sz w:val="28"/>
          <w:szCs w:val="28"/>
        </w:rPr>
        <w:t>个月，质保期的起始时间从双方签署的安装验收合格报告之日起计算。</w:t>
      </w:r>
    </w:p>
    <w:p w14:paraId="4AEDDAD2">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 xml:space="preserve"> 质量标准：符合现行国家、行业以及地方强制性和推荐性规范、标准要求，满足现场环境使用需求，详见招标文件。 </w:t>
      </w:r>
    </w:p>
    <w:p w14:paraId="2000BF95">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8</w:t>
      </w:r>
      <w:r>
        <w:rPr>
          <w:rFonts w:hint="eastAsia" w:ascii="仿宋" w:hAnsi="仿宋" w:eastAsia="仿宋"/>
          <w:sz w:val="28"/>
          <w:szCs w:val="28"/>
        </w:rPr>
        <w:t xml:space="preserve"> 工期：</w:t>
      </w:r>
      <w:r>
        <w:rPr>
          <w:rFonts w:hint="eastAsia" w:ascii="仿宋" w:hAnsi="仿宋" w:eastAsia="仿宋"/>
          <w:sz w:val="28"/>
          <w:szCs w:val="28"/>
          <w:lang w:val="en-US" w:eastAsia="zh-CN"/>
        </w:rPr>
        <w:t>40</w:t>
      </w:r>
      <w:r>
        <w:rPr>
          <w:rFonts w:hint="eastAsia" w:ascii="仿宋" w:hAnsi="仿宋" w:eastAsia="仿宋"/>
          <w:sz w:val="28"/>
          <w:szCs w:val="28"/>
        </w:rPr>
        <w:t>个日历天（</w:t>
      </w:r>
      <w:r>
        <w:rPr>
          <w:rFonts w:hint="eastAsia" w:ascii="仿宋" w:hAnsi="仿宋" w:eastAsia="仿宋"/>
          <w:sz w:val="28"/>
          <w:szCs w:val="28"/>
          <w:lang w:val="en-US" w:eastAsia="zh-CN"/>
        </w:rPr>
        <w:t>开工日期</w:t>
      </w:r>
      <w:r>
        <w:rPr>
          <w:rFonts w:hint="eastAsia" w:ascii="仿宋" w:hAnsi="仿宋" w:eastAsia="仿宋"/>
          <w:sz w:val="28"/>
          <w:szCs w:val="28"/>
        </w:rPr>
        <w:t>具体以招标人书面通知为准</w:t>
      </w:r>
      <w:r>
        <w:rPr>
          <w:rFonts w:hint="eastAsia" w:ascii="仿宋" w:hAnsi="仿宋" w:eastAsia="仿宋"/>
          <w:sz w:val="28"/>
          <w:szCs w:val="28"/>
          <w:lang w:eastAsia="zh-CN"/>
        </w:rPr>
        <w:t>）</w:t>
      </w:r>
      <w:r>
        <w:rPr>
          <w:rFonts w:hint="eastAsia" w:ascii="仿宋" w:hAnsi="仿宋" w:eastAsia="仿宋"/>
          <w:sz w:val="28"/>
          <w:szCs w:val="28"/>
        </w:rPr>
        <w:t>。</w:t>
      </w:r>
    </w:p>
    <w:p w14:paraId="5B68AAD3">
      <w:pPr>
        <w:spacing w:line="360" w:lineRule="auto"/>
        <w:rPr>
          <w:rFonts w:hint="eastAsia" w:ascii="仿宋" w:hAnsi="仿宋" w:eastAsia="仿宋"/>
          <w:sz w:val="28"/>
          <w:szCs w:val="28"/>
        </w:rPr>
      </w:pPr>
      <w:bookmarkStart w:id="12" w:name="_Toc28817"/>
      <w:bookmarkStart w:id="13" w:name="_Toc19135"/>
      <w:bookmarkStart w:id="14" w:name="_Toc6759"/>
      <w:bookmarkStart w:id="15" w:name="_Toc22538"/>
      <w:bookmarkStart w:id="16" w:name="_Toc16471"/>
      <w:bookmarkStart w:id="17" w:name="_Toc6751"/>
      <w:r>
        <w:rPr>
          <w:rFonts w:hint="eastAsia" w:ascii="仿宋" w:hAnsi="仿宋" w:eastAsia="仿宋"/>
          <w:sz w:val="28"/>
          <w:szCs w:val="28"/>
          <w:lang w:val="en-US" w:eastAsia="zh-CN"/>
        </w:rPr>
        <w:t>三</w:t>
      </w:r>
      <w:r>
        <w:rPr>
          <w:rFonts w:hint="eastAsia" w:ascii="仿宋" w:hAnsi="仿宋" w:eastAsia="仿宋"/>
          <w:sz w:val="28"/>
          <w:szCs w:val="28"/>
        </w:rPr>
        <w:t>、以下条件属于资格审查必要合格条件</w:t>
      </w:r>
      <w:bookmarkEnd w:id="12"/>
      <w:bookmarkEnd w:id="13"/>
      <w:bookmarkEnd w:id="14"/>
      <w:bookmarkEnd w:id="15"/>
      <w:bookmarkEnd w:id="16"/>
      <w:bookmarkEnd w:id="17"/>
    </w:p>
    <w:p w14:paraId="7A901058">
      <w:pPr>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.1投标人应具有独立的法人资格，持有在中国合法注册的《营业执照》，具有独立订立合同和履行合同的能力。</w:t>
      </w:r>
    </w:p>
    <w:p w14:paraId="1CBAEAD4">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w:t>
      </w:r>
      <w:r>
        <w:rPr>
          <w:rFonts w:hint="eastAsia" w:ascii="仿宋" w:hAnsi="仿宋" w:eastAsia="仿宋"/>
          <w:sz w:val="28"/>
          <w:szCs w:val="28"/>
        </w:rPr>
        <w:t>.</w:t>
      </w:r>
      <w:r>
        <w:rPr>
          <w:rFonts w:hint="eastAsia" w:ascii="仿宋" w:hAnsi="仿宋" w:eastAsia="仿宋"/>
          <w:sz w:val="28"/>
          <w:szCs w:val="28"/>
          <w:lang w:val="en-US" w:eastAsia="zh-CN"/>
        </w:rPr>
        <w:t>2本项目不接受挂靠、分包、转包、联合体单位参与投标；法定代表人或单位负责人为同一人或者存在控股、管理关系的不同单位，不得参加同一标段投标或者未划分标段的同一招标项目投标。</w:t>
      </w:r>
    </w:p>
    <w:p w14:paraId="1FA6528F">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lang w:val="en-US" w:eastAsia="zh-CN"/>
        </w:rPr>
        <w:t>3.3财务要求：财务状况良好，近3年无亏损，有足够的资金能力来承担本项目的实施。</w:t>
      </w:r>
    </w:p>
    <w:p w14:paraId="6C6B3589">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3.4投标人在本项目涉及的相关行业有不良记录，以及曾为招标人提供相关服务但被评估为不合格或存在不良履约记录的，其投标将被拒绝。</w:t>
      </w:r>
    </w:p>
    <w:p w14:paraId="6D1CE2CD">
      <w:pPr>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3</w:t>
      </w:r>
      <w:r>
        <w:rPr>
          <w:rFonts w:hint="eastAsia" w:ascii="仿宋" w:hAnsi="仿宋" w:eastAsia="仿宋"/>
          <w:sz w:val="28"/>
          <w:szCs w:val="28"/>
        </w:rPr>
        <w:t>.</w:t>
      </w:r>
      <w:r>
        <w:rPr>
          <w:rFonts w:hint="eastAsia" w:ascii="仿宋" w:hAnsi="仿宋" w:eastAsia="仿宋"/>
          <w:sz w:val="28"/>
          <w:szCs w:val="28"/>
          <w:lang w:val="en-US" w:eastAsia="zh-CN"/>
        </w:rPr>
        <w:t>5</w:t>
      </w:r>
      <w:r>
        <w:rPr>
          <w:rFonts w:hint="eastAsia" w:ascii="仿宋" w:hAnsi="仿宋" w:eastAsia="仿宋"/>
          <w:sz w:val="28"/>
          <w:szCs w:val="28"/>
        </w:rPr>
        <w:t>投标人须符合《资格预审必要合格条件标准》（见附件一）。</w:t>
      </w:r>
    </w:p>
    <w:p w14:paraId="24372345">
      <w:pPr>
        <w:spacing w:line="360" w:lineRule="auto"/>
        <w:rPr>
          <w:rFonts w:hint="eastAsia" w:ascii="仿宋" w:hAnsi="仿宋" w:eastAsia="仿宋"/>
          <w:sz w:val="28"/>
          <w:szCs w:val="28"/>
        </w:rPr>
      </w:pPr>
      <w:bookmarkStart w:id="18" w:name="_Toc30197"/>
      <w:bookmarkStart w:id="19" w:name="_Toc30075"/>
      <w:bookmarkStart w:id="20" w:name="_Toc29579"/>
      <w:bookmarkStart w:id="21" w:name="_Toc8065"/>
      <w:bookmarkStart w:id="22" w:name="_Toc24684"/>
      <w:bookmarkStart w:id="23" w:name="_Toc11323"/>
      <w:r>
        <w:rPr>
          <w:rFonts w:hint="eastAsia" w:ascii="仿宋" w:hAnsi="仿宋" w:eastAsia="仿宋"/>
          <w:sz w:val="28"/>
          <w:szCs w:val="28"/>
          <w:lang w:val="en-US" w:eastAsia="zh-CN"/>
        </w:rPr>
        <w:t>四</w:t>
      </w:r>
      <w:r>
        <w:rPr>
          <w:rFonts w:hint="eastAsia" w:ascii="仿宋" w:hAnsi="仿宋" w:eastAsia="仿宋"/>
          <w:sz w:val="28"/>
          <w:szCs w:val="28"/>
        </w:rPr>
        <w:t>、确定潜在投标人的方法</w:t>
      </w:r>
      <w:bookmarkEnd w:id="18"/>
      <w:bookmarkEnd w:id="19"/>
      <w:bookmarkEnd w:id="20"/>
      <w:bookmarkEnd w:id="21"/>
      <w:bookmarkEnd w:id="22"/>
      <w:bookmarkEnd w:id="23"/>
    </w:p>
    <w:p w14:paraId="73DABA24">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本项目资格预审采用合格制。投标人递交的资格预审文件（包括必要时的约谈或考察）经审查均合格的，入围正式投标。</w:t>
      </w:r>
    </w:p>
    <w:p w14:paraId="3D12C103">
      <w:pPr>
        <w:spacing w:line="360" w:lineRule="auto"/>
        <w:rPr>
          <w:rFonts w:hint="eastAsia" w:ascii="仿宋" w:hAnsi="仿宋" w:eastAsia="仿宋"/>
          <w:sz w:val="28"/>
          <w:szCs w:val="28"/>
        </w:rPr>
      </w:pPr>
      <w:bookmarkStart w:id="24" w:name="_Toc27375"/>
      <w:bookmarkStart w:id="25" w:name="_Toc5358"/>
      <w:bookmarkStart w:id="26" w:name="_Toc19960"/>
      <w:bookmarkStart w:id="27" w:name="_Toc13473"/>
      <w:bookmarkStart w:id="28" w:name="_Toc32383"/>
      <w:bookmarkStart w:id="29" w:name="_Toc14670"/>
      <w:r>
        <w:rPr>
          <w:rFonts w:hint="eastAsia" w:ascii="仿宋" w:hAnsi="仿宋" w:eastAsia="仿宋"/>
          <w:sz w:val="28"/>
          <w:szCs w:val="28"/>
          <w:lang w:val="en-US" w:eastAsia="zh-CN"/>
        </w:rPr>
        <w:t>五</w:t>
      </w:r>
      <w:r>
        <w:rPr>
          <w:rFonts w:hint="eastAsia" w:ascii="仿宋" w:hAnsi="仿宋" w:eastAsia="仿宋"/>
          <w:sz w:val="28"/>
          <w:szCs w:val="28"/>
        </w:rPr>
        <w:t>、投标保证金：</w:t>
      </w:r>
      <w:bookmarkEnd w:id="24"/>
      <w:bookmarkEnd w:id="25"/>
      <w:bookmarkEnd w:id="26"/>
      <w:bookmarkEnd w:id="27"/>
      <w:bookmarkEnd w:id="28"/>
      <w:bookmarkEnd w:id="29"/>
    </w:p>
    <w:p w14:paraId="1B785917">
      <w:pPr>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5</w:t>
      </w:r>
      <w:r>
        <w:rPr>
          <w:rFonts w:hint="eastAsia" w:ascii="仿宋" w:hAnsi="仿宋" w:eastAsia="仿宋"/>
          <w:sz w:val="28"/>
          <w:szCs w:val="28"/>
        </w:rPr>
        <w:t>.1 投标保证金：</w:t>
      </w:r>
      <w:r>
        <w:rPr>
          <w:rFonts w:hint="eastAsia" w:ascii="仿宋" w:hAnsi="仿宋" w:eastAsia="仿宋"/>
          <w:sz w:val="28"/>
          <w:szCs w:val="28"/>
          <w:lang w:val="en-US" w:eastAsia="zh-CN"/>
        </w:rPr>
        <w:t>6</w:t>
      </w:r>
      <w:r>
        <w:rPr>
          <w:rFonts w:hint="eastAsia" w:ascii="仿宋" w:hAnsi="仿宋" w:eastAsia="仿宋"/>
          <w:sz w:val="28"/>
          <w:szCs w:val="28"/>
        </w:rPr>
        <w:t>万元(人民币</w:t>
      </w:r>
      <w:r>
        <w:rPr>
          <w:rFonts w:hint="eastAsia" w:ascii="仿宋" w:hAnsi="仿宋" w:eastAsia="仿宋"/>
          <w:sz w:val="28"/>
          <w:szCs w:val="28"/>
          <w:lang w:val="en-US" w:eastAsia="zh-CN"/>
        </w:rPr>
        <w:t>陆</w:t>
      </w:r>
      <w:r>
        <w:rPr>
          <w:rFonts w:hint="eastAsia" w:ascii="仿宋" w:hAnsi="仿宋" w:eastAsia="仿宋"/>
          <w:sz w:val="28"/>
          <w:szCs w:val="28"/>
        </w:rPr>
        <w:t>万元整）。投标人可在收到招标文件且确认参标后，在规定时间内上传保证金缴纳凭证。投标人以网银转账或电汇方式缴纳至招标人指定账户，转账需备注“厂区弱电设备设施安全风险整改项目-投标保证金”，投标保证金缴纳后登陆舍得酒业招采数字化平台（网址：https://ssrm.shede.com.cn）点击页面顶部“一链网”，在截止时间前上传转账凭证。</w:t>
      </w:r>
    </w:p>
    <w:p w14:paraId="3FA6E4DF">
      <w:pPr>
        <w:numPr>
          <w:ilvl w:val="255"/>
          <w:numId w:val="0"/>
        </w:numPr>
        <w:spacing w:line="360" w:lineRule="auto"/>
        <w:ind w:right="-197" w:rightChars="-94"/>
        <w:jc w:val="left"/>
        <w:rPr>
          <w:rFonts w:hint="eastAsia" w:ascii="仿宋" w:hAnsi="仿宋" w:eastAsia="仿宋" w:cs="Times New Roman"/>
          <w:sz w:val="28"/>
          <w:szCs w:val="28"/>
        </w:rPr>
      </w:pPr>
      <w:bookmarkStart w:id="30" w:name="_Hlk195084520"/>
      <w:r>
        <w:rPr>
          <w:rFonts w:hint="eastAsia" w:ascii="仿宋" w:hAnsi="仿宋" w:eastAsia="仿宋" w:cs="Times New Roman"/>
          <w:sz w:val="28"/>
          <w:szCs w:val="28"/>
        </w:rPr>
        <w:t>保证金缴纳凭证上传截止时间：2026年</w:t>
      </w:r>
      <w:r>
        <w:rPr>
          <w:rFonts w:hint="eastAsia" w:ascii="仿宋" w:hAnsi="仿宋" w:eastAsia="仿宋" w:cs="Times New Roman"/>
          <w:sz w:val="28"/>
          <w:szCs w:val="28"/>
          <w:lang w:val="en-US" w:eastAsia="zh-CN"/>
        </w:rPr>
        <w:t>5</w:t>
      </w:r>
      <w:r>
        <w:rPr>
          <w:rFonts w:hint="eastAsia" w:ascii="仿宋" w:hAnsi="仿宋" w:eastAsia="仿宋" w:cs="Times New Roman"/>
          <w:sz w:val="28"/>
          <w:szCs w:val="28"/>
        </w:rPr>
        <w:t>月</w:t>
      </w:r>
      <w:r>
        <w:rPr>
          <w:rFonts w:hint="eastAsia" w:ascii="仿宋" w:hAnsi="仿宋" w:eastAsia="仿宋" w:cs="Times New Roman"/>
          <w:sz w:val="28"/>
          <w:szCs w:val="28"/>
          <w:lang w:val="en-US" w:eastAsia="zh-CN"/>
        </w:rPr>
        <w:t>14</w:t>
      </w:r>
      <w:r>
        <w:rPr>
          <w:rFonts w:hint="eastAsia" w:ascii="仿宋" w:hAnsi="仿宋" w:eastAsia="仿宋" w:cs="Times New Roman"/>
          <w:sz w:val="28"/>
          <w:szCs w:val="28"/>
        </w:rPr>
        <w:t>日下午16:00前</w:t>
      </w:r>
      <w:bookmarkEnd w:id="30"/>
    </w:p>
    <w:p w14:paraId="142D3F4E">
      <w:pPr>
        <w:numPr>
          <w:ilvl w:val="255"/>
          <w:numId w:val="0"/>
        </w:numPr>
        <w:spacing w:line="360" w:lineRule="auto"/>
        <w:ind w:right="-197" w:rightChars="-94"/>
        <w:jc w:val="left"/>
        <w:rPr>
          <w:rFonts w:hint="eastAsia"/>
        </w:rPr>
      </w:pPr>
      <w:r>
        <w:rPr>
          <w:rFonts w:hint="eastAsia" w:ascii="仿宋" w:hAnsi="仿宋" w:eastAsia="仿宋" w:cs="Times New Roman"/>
          <w:sz w:val="28"/>
          <w:szCs w:val="28"/>
        </w:rPr>
        <w:t>投标保证金凭证上传时间截止且经系统确认后，投标人方可递交投标文件</w:t>
      </w:r>
      <w:r>
        <w:rPr>
          <w:rFonts w:hint="eastAsia" w:ascii="仿宋" w:hAnsi="仿宋" w:eastAsia="仿宋" w:cs="Times New Roman"/>
          <w:sz w:val="28"/>
          <w:szCs w:val="28"/>
          <w:lang w:eastAsia="zh-CN"/>
        </w:rPr>
        <w:t>。</w:t>
      </w:r>
    </w:p>
    <w:p w14:paraId="09E15BD2">
      <w:pPr>
        <w:spacing w:line="360" w:lineRule="auto"/>
        <w:rPr>
          <w:rFonts w:hint="eastAsia" w:ascii="仿宋" w:hAnsi="仿宋" w:eastAsia="仿宋"/>
          <w:sz w:val="28"/>
          <w:szCs w:val="28"/>
        </w:rPr>
      </w:pPr>
      <w:r>
        <w:rPr>
          <w:rFonts w:hint="eastAsia" w:ascii="仿宋" w:hAnsi="仿宋" w:eastAsia="仿宋"/>
          <w:sz w:val="28"/>
          <w:szCs w:val="28"/>
          <w:lang w:val="en-US" w:eastAsia="zh-CN"/>
        </w:rPr>
        <w:t>收款信息</w:t>
      </w:r>
      <w:r>
        <w:rPr>
          <w:rFonts w:hint="eastAsia" w:ascii="仿宋" w:hAnsi="仿宋" w:eastAsia="仿宋"/>
          <w:sz w:val="28"/>
          <w:szCs w:val="28"/>
        </w:rPr>
        <w:t>：</w:t>
      </w:r>
    </w:p>
    <w:p w14:paraId="749F3662">
      <w:pPr>
        <w:spacing w:line="360" w:lineRule="auto"/>
        <w:rPr>
          <w:rFonts w:hint="eastAsia" w:ascii="仿宋" w:hAnsi="仿宋" w:eastAsia="仿宋"/>
          <w:sz w:val="28"/>
          <w:szCs w:val="28"/>
        </w:rPr>
      </w:pPr>
      <w:r>
        <w:rPr>
          <w:rFonts w:hint="eastAsia" w:ascii="仿宋" w:hAnsi="仿宋" w:eastAsia="仿宋"/>
          <w:sz w:val="28"/>
          <w:szCs w:val="28"/>
        </w:rPr>
        <w:t>开户单位：舍得酒业股份有限公司</w:t>
      </w:r>
    </w:p>
    <w:p w14:paraId="0B84B0CB">
      <w:pPr>
        <w:spacing w:line="360" w:lineRule="auto"/>
        <w:rPr>
          <w:rFonts w:hint="eastAsia" w:ascii="仿宋" w:hAnsi="仿宋" w:eastAsia="仿宋"/>
          <w:sz w:val="28"/>
          <w:szCs w:val="28"/>
        </w:rPr>
      </w:pPr>
      <w:r>
        <w:rPr>
          <w:rFonts w:hint="eastAsia" w:ascii="仿宋" w:hAnsi="仿宋" w:eastAsia="仿宋"/>
          <w:sz w:val="28"/>
          <w:szCs w:val="28"/>
        </w:rPr>
        <w:t>开户银行：中国工商银行射洪支行</w:t>
      </w:r>
    </w:p>
    <w:p w14:paraId="210651D8">
      <w:pPr>
        <w:spacing w:line="360" w:lineRule="auto"/>
        <w:rPr>
          <w:rFonts w:hint="eastAsia" w:ascii="仿宋" w:hAnsi="仿宋" w:eastAsia="仿宋"/>
          <w:sz w:val="28"/>
          <w:szCs w:val="28"/>
        </w:rPr>
      </w:pPr>
      <w:r>
        <w:rPr>
          <w:rFonts w:hint="eastAsia" w:ascii="仿宋" w:hAnsi="仿宋" w:eastAsia="仿宋"/>
          <w:sz w:val="28"/>
          <w:szCs w:val="28"/>
        </w:rPr>
        <w:t>银行帐号：2310 4641 0902 2509 624</w:t>
      </w:r>
    </w:p>
    <w:p w14:paraId="00FDE037">
      <w:pPr>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5</w:t>
      </w:r>
      <w:r>
        <w:rPr>
          <w:rFonts w:hint="eastAsia" w:ascii="仿宋" w:hAnsi="仿宋" w:eastAsia="仿宋"/>
          <w:sz w:val="28"/>
          <w:szCs w:val="28"/>
        </w:rPr>
        <w:t>.2 保证金退还：</w:t>
      </w:r>
    </w:p>
    <w:p w14:paraId="6A20A14B">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若中标，则投标保证金自动转为合同履约保证金（不足部分由中标方补齐），工程按期完工并验收合格后，招标人30日内返还履约保证金（不计利息）。未中标的投标保证金招标人最迟在书面合同签订后5日内向未中标的投标人退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14:paraId="57FBD245">
      <w:pPr>
        <w:spacing w:line="360" w:lineRule="auto"/>
        <w:rPr>
          <w:rFonts w:hint="eastAsia" w:ascii="仿宋" w:hAnsi="仿宋" w:eastAsia="仿宋"/>
          <w:sz w:val="28"/>
          <w:szCs w:val="28"/>
        </w:rPr>
      </w:pPr>
      <w:bookmarkStart w:id="31" w:name="_Toc14309"/>
      <w:bookmarkStart w:id="32" w:name="_Toc24916"/>
      <w:bookmarkStart w:id="33" w:name="_Toc6180"/>
      <w:bookmarkStart w:id="34" w:name="_Toc20078"/>
      <w:bookmarkStart w:id="35" w:name="_Toc534"/>
      <w:bookmarkStart w:id="36" w:name="_Toc29033"/>
      <w:r>
        <w:rPr>
          <w:rFonts w:hint="eastAsia" w:ascii="仿宋" w:hAnsi="仿宋" w:eastAsia="仿宋"/>
          <w:sz w:val="28"/>
          <w:szCs w:val="28"/>
          <w:lang w:val="en-US" w:eastAsia="zh-CN"/>
        </w:rPr>
        <w:t>六</w:t>
      </w:r>
      <w:r>
        <w:rPr>
          <w:rFonts w:hint="eastAsia" w:ascii="仿宋" w:hAnsi="仿宋" w:eastAsia="仿宋"/>
          <w:sz w:val="28"/>
          <w:szCs w:val="28"/>
        </w:rPr>
        <w:t>、投标报名联系人及时间安排：</w:t>
      </w:r>
      <w:bookmarkEnd w:id="31"/>
      <w:bookmarkEnd w:id="32"/>
      <w:bookmarkEnd w:id="33"/>
      <w:bookmarkEnd w:id="34"/>
      <w:bookmarkEnd w:id="35"/>
      <w:bookmarkEnd w:id="36"/>
      <w:r>
        <w:rPr>
          <w:rFonts w:hint="eastAsia" w:ascii="仿宋" w:hAnsi="仿宋" w:eastAsia="仿宋"/>
          <w:sz w:val="28"/>
          <w:szCs w:val="28"/>
        </w:rPr>
        <w:t xml:space="preserve"> </w:t>
      </w:r>
    </w:p>
    <w:p w14:paraId="5A07351F">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6.1联系人及方式</w:t>
      </w:r>
    </w:p>
    <w:p w14:paraId="0668BCD2">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①毛先生  电话18584082210   09:30-17:30</w:t>
      </w:r>
    </w:p>
    <w:p w14:paraId="4D954323">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②报名截止时间:2026年4月30日下午16</w:t>
      </w:r>
      <w:bookmarkStart w:id="52" w:name="_GoBack"/>
      <w:bookmarkEnd w:id="52"/>
      <w:r>
        <w:rPr>
          <w:rFonts w:hint="eastAsia" w:ascii="仿宋" w:hAnsi="仿宋" w:eastAsia="仿宋"/>
          <w:sz w:val="28"/>
          <w:szCs w:val="28"/>
          <w:lang w:val="en-US" w:eastAsia="zh-CN"/>
        </w:rPr>
        <w:t>:00前</w:t>
      </w:r>
    </w:p>
    <w:p w14:paraId="762E88D7">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③报名文件提交方式：登陆舍得酒业招采数字化平台(网址：https://ssrm.shede.com.cn），点击页面顶部“一链网”参与项目报名,并按照“附件二投标预审资料提交模板”的要求提供资格预审盖章扫描文件及可编辑word版本。</w:t>
      </w:r>
    </w:p>
    <w:p w14:paraId="443E3195">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未按照上述要求进行报名的均视为报名无效，报名截止后通过资格预审的投标人可获取招标文件并参加投标。</w:t>
      </w:r>
    </w:p>
    <w:p w14:paraId="297CC935">
      <w:pPr>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lang w:val="en-US" w:eastAsia="zh-CN"/>
        </w:rPr>
        <w:t>如有任何问题，请及时与投标报名联系人联系。</w:t>
      </w:r>
    </w:p>
    <w:p w14:paraId="31032692">
      <w:pPr>
        <w:spacing w:line="360" w:lineRule="auto"/>
        <w:ind w:firstLine="280" w:firstLineChars="100"/>
        <w:rPr>
          <w:rFonts w:hint="eastAsia" w:ascii="仿宋" w:hAnsi="仿宋" w:eastAsia="仿宋"/>
          <w:sz w:val="28"/>
          <w:szCs w:val="28"/>
          <w:lang w:val="en-US" w:eastAsia="zh-CN"/>
        </w:rPr>
      </w:pPr>
      <w:r>
        <w:rPr>
          <w:rFonts w:hint="eastAsia" w:ascii="仿宋" w:hAnsi="仿宋" w:eastAsia="仿宋"/>
          <w:sz w:val="28"/>
          <w:szCs w:val="28"/>
          <w:lang w:val="en-US" w:eastAsia="zh-CN"/>
        </w:rPr>
        <w:t>6.2招标文件的获取方式</w:t>
      </w:r>
    </w:p>
    <w:p w14:paraId="51103D3C">
      <w:pPr>
        <w:spacing w:line="360" w:lineRule="auto"/>
        <w:ind w:firstLine="560" w:firstLineChars="200"/>
        <w:jc w:val="left"/>
        <w:rPr>
          <w:rFonts w:hint="eastAsia" w:ascii="仿宋" w:hAnsi="仿宋" w:eastAsia="仿宋"/>
          <w:sz w:val="28"/>
          <w:szCs w:val="28"/>
          <w:lang w:val="en-US" w:eastAsia="zh-CN"/>
        </w:rPr>
      </w:pPr>
      <w:r>
        <w:rPr>
          <w:rFonts w:hint="eastAsia" w:ascii="仿宋" w:hAnsi="仿宋" w:eastAsia="仿宋"/>
          <w:sz w:val="28"/>
          <w:szCs w:val="28"/>
          <w:lang w:val="en-US" w:eastAsia="zh-CN"/>
        </w:rPr>
        <w:t>登陆舍得酒业招采数字化平台（网址：https://ssrm.shede.com.cn），点击页面顶部的“一链网”获取招标文件。</w:t>
      </w:r>
    </w:p>
    <w:p w14:paraId="0ED078D2">
      <w:pPr>
        <w:spacing w:line="360" w:lineRule="auto"/>
        <w:ind w:firstLine="280" w:firstLineChars="100"/>
        <w:rPr>
          <w:rFonts w:hint="eastAsia"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.3时间安排：</w:t>
      </w:r>
    </w:p>
    <w:p w14:paraId="08C5EA9F">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lang w:val="en-US" w:eastAsia="zh-CN"/>
        </w:rPr>
        <w:t>预计</w:t>
      </w:r>
      <w:r>
        <w:rPr>
          <w:rFonts w:hint="eastAsia" w:ascii="仿宋" w:hAnsi="仿宋" w:eastAsia="仿宋"/>
          <w:sz w:val="28"/>
          <w:szCs w:val="28"/>
        </w:rPr>
        <w:t>发标时间：202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8</w:t>
      </w:r>
      <w:r>
        <w:rPr>
          <w:rFonts w:hint="eastAsia" w:ascii="仿宋" w:hAnsi="仿宋" w:eastAsia="仿宋"/>
          <w:sz w:val="28"/>
          <w:szCs w:val="28"/>
        </w:rPr>
        <w:t>日</w:t>
      </w:r>
    </w:p>
    <w:p w14:paraId="61C88888">
      <w:pPr>
        <w:spacing w:line="360" w:lineRule="auto"/>
        <w:ind w:firstLine="280" w:firstLineChars="100"/>
        <w:rPr>
          <w:rFonts w:hint="eastAsia" w:ascii="仿宋" w:hAnsi="仿宋" w:eastAsia="仿宋"/>
          <w:sz w:val="28"/>
          <w:szCs w:val="28"/>
        </w:rPr>
      </w:pPr>
      <w:r>
        <w:rPr>
          <w:rFonts w:hint="eastAsia" w:ascii="仿宋" w:hAnsi="仿宋" w:eastAsia="仿宋"/>
          <w:sz w:val="28"/>
          <w:szCs w:val="28"/>
          <w:lang w:val="en-US" w:eastAsia="zh-CN"/>
        </w:rPr>
        <w:t>保证金缴纳凭证上传截止时间：2026年5月14日下午16：00前</w:t>
      </w:r>
    </w:p>
    <w:p w14:paraId="6FCA463A">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本项目回标时间：202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18</w:t>
      </w:r>
      <w:r>
        <w:rPr>
          <w:rFonts w:hint="eastAsia" w:ascii="仿宋" w:hAnsi="仿宋" w:eastAsia="仿宋"/>
          <w:sz w:val="28"/>
          <w:szCs w:val="28"/>
        </w:rPr>
        <w:t>日</w:t>
      </w:r>
    </w:p>
    <w:p w14:paraId="5BD8DBDD">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本项目开标时间：202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5</w:t>
      </w:r>
      <w:r>
        <w:rPr>
          <w:rFonts w:hint="eastAsia" w:ascii="仿宋" w:hAnsi="仿宋" w:eastAsia="仿宋"/>
          <w:sz w:val="28"/>
          <w:szCs w:val="28"/>
        </w:rPr>
        <w:t>月</w:t>
      </w:r>
      <w:r>
        <w:rPr>
          <w:rFonts w:hint="eastAsia" w:ascii="仿宋" w:hAnsi="仿宋" w:eastAsia="仿宋"/>
          <w:sz w:val="28"/>
          <w:szCs w:val="28"/>
          <w:lang w:val="en-US" w:eastAsia="zh-CN"/>
        </w:rPr>
        <w:t>19</w:t>
      </w:r>
      <w:r>
        <w:rPr>
          <w:rFonts w:hint="eastAsia" w:ascii="仿宋" w:hAnsi="仿宋" w:eastAsia="仿宋"/>
          <w:sz w:val="28"/>
          <w:szCs w:val="28"/>
        </w:rPr>
        <w:t>日</w:t>
      </w:r>
    </w:p>
    <w:p w14:paraId="495D20D6">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以上时间会根据项目的进度有所变动，以实际为准。</w:t>
      </w:r>
    </w:p>
    <w:p w14:paraId="3922E316">
      <w:pPr>
        <w:spacing w:line="360" w:lineRule="auto"/>
        <w:rPr>
          <w:rFonts w:hint="eastAsia" w:ascii="仿宋" w:hAnsi="仿宋" w:eastAsia="仿宋"/>
          <w:sz w:val="28"/>
          <w:szCs w:val="28"/>
        </w:rPr>
      </w:pPr>
      <w:bookmarkStart w:id="37" w:name="_Toc21266"/>
      <w:bookmarkStart w:id="38" w:name="_Toc3114"/>
      <w:bookmarkStart w:id="39" w:name="_Toc27331"/>
      <w:bookmarkStart w:id="40" w:name="_Toc15028"/>
      <w:bookmarkStart w:id="41" w:name="_Toc514"/>
      <w:bookmarkStart w:id="42" w:name="_Toc18098"/>
      <w:r>
        <w:rPr>
          <w:rFonts w:hint="eastAsia" w:ascii="仿宋" w:hAnsi="仿宋" w:eastAsia="仿宋"/>
          <w:sz w:val="28"/>
          <w:szCs w:val="28"/>
          <w:lang w:val="en-US" w:eastAsia="zh-CN"/>
        </w:rPr>
        <w:t>七</w:t>
      </w:r>
      <w:r>
        <w:rPr>
          <w:rFonts w:hint="eastAsia" w:ascii="仿宋" w:hAnsi="仿宋" w:eastAsia="仿宋"/>
          <w:sz w:val="28"/>
          <w:szCs w:val="28"/>
        </w:rPr>
        <w:t>、附件</w:t>
      </w:r>
      <w:bookmarkEnd w:id="37"/>
      <w:bookmarkEnd w:id="38"/>
      <w:bookmarkEnd w:id="39"/>
      <w:bookmarkEnd w:id="40"/>
      <w:bookmarkEnd w:id="41"/>
      <w:bookmarkEnd w:id="42"/>
    </w:p>
    <w:p w14:paraId="45EB4C85">
      <w:pPr>
        <w:spacing w:line="360" w:lineRule="auto"/>
        <w:ind w:firstLine="280" w:firstLineChars="100"/>
        <w:rPr>
          <w:rFonts w:hint="eastAsia" w:ascii="仿宋" w:hAnsi="仿宋" w:eastAsia="仿宋"/>
          <w:sz w:val="28"/>
          <w:szCs w:val="28"/>
        </w:rPr>
      </w:pPr>
      <w:r>
        <w:rPr>
          <w:rFonts w:hint="eastAsia" w:ascii="仿宋" w:hAnsi="仿宋" w:eastAsia="仿宋"/>
          <w:sz w:val="28"/>
          <w:szCs w:val="28"/>
        </w:rPr>
        <w:t>附件一：资格预审必要合格条件标准（点击下载）</w:t>
      </w:r>
    </w:p>
    <w:p w14:paraId="0EAA2FB7">
      <w:pPr>
        <w:spacing w:line="360" w:lineRule="auto"/>
        <w:ind w:firstLine="280" w:firstLineChars="100"/>
        <w:rPr>
          <w:rFonts w:ascii="仿宋" w:hAnsi="仿宋" w:eastAsia="仿宋"/>
          <w:sz w:val="28"/>
          <w:szCs w:val="28"/>
        </w:rPr>
      </w:pPr>
      <w:bookmarkStart w:id="43" w:name="_Toc6149"/>
      <w:bookmarkStart w:id="44" w:name="_Toc15467"/>
      <w:bookmarkStart w:id="45" w:name="_Toc29250"/>
      <w:bookmarkStart w:id="46" w:name="_Toc28001"/>
      <w:bookmarkStart w:id="47" w:name="_Toc10568"/>
      <w:bookmarkStart w:id="48" w:name="_Toc8513"/>
      <w:bookmarkStart w:id="49" w:name="_Toc30187"/>
      <w:bookmarkStart w:id="50" w:name="_Toc27708"/>
      <w:bookmarkStart w:id="51" w:name="_Toc20359"/>
      <w:r>
        <w:rPr>
          <w:rFonts w:hint="eastAsia" w:ascii="仿宋" w:hAnsi="仿宋" w:eastAsia="仿宋"/>
          <w:sz w:val="28"/>
          <w:szCs w:val="28"/>
        </w:rPr>
        <w:t>附件二：投标预审资料提交模板（点击下载）</w:t>
      </w:r>
      <w:bookmarkEnd w:id="43"/>
      <w:bookmarkEnd w:id="44"/>
      <w:bookmarkEnd w:id="45"/>
      <w:bookmarkEnd w:id="46"/>
      <w:bookmarkEnd w:id="47"/>
      <w:bookmarkEnd w:id="48"/>
      <w:bookmarkEnd w:id="49"/>
      <w:bookmarkEnd w:id="50"/>
      <w:bookmarkEnd w:id="51"/>
    </w:p>
    <w:p w14:paraId="5205283E">
      <w:pPr>
        <w:spacing w:line="360" w:lineRule="auto"/>
        <w:ind w:right="640"/>
        <w:jc w:val="right"/>
        <w:rPr>
          <w:rFonts w:ascii="仿宋" w:hAnsi="仿宋" w:eastAsia="仿宋"/>
          <w:sz w:val="28"/>
          <w:szCs w:val="28"/>
        </w:rPr>
      </w:pPr>
      <w:r>
        <w:rPr>
          <w:rFonts w:hint="eastAsia" w:ascii="仿宋" w:hAnsi="仿宋" w:eastAsia="仿宋"/>
          <w:sz w:val="28"/>
          <w:szCs w:val="28"/>
        </w:rPr>
        <w:t>舍得酒业股份有限公司</w:t>
      </w:r>
    </w:p>
    <w:p w14:paraId="42D271B7">
      <w:pPr>
        <w:spacing w:line="360" w:lineRule="auto"/>
        <w:ind w:right="640"/>
        <w:jc w:val="right"/>
        <w:rPr>
          <w:rFonts w:hint="eastAsia" w:ascii="仿宋" w:hAnsi="仿宋" w:eastAsia="仿宋"/>
          <w:sz w:val="28"/>
          <w:szCs w:val="28"/>
        </w:rPr>
      </w:pP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4</w:t>
      </w:r>
      <w:r>
        <w:rPr>
          <w:rFonts w:hint="eastAsia" w:ascii="仿宋" w:hAnsi="仿宋" w:eastAsia="仿宋"/>
          <w:sz w:val="28"/>
          <w:szCs w:val="28"/>
        </w:rPr>
        <w:t>月</w:t>
      </w:r>
      <w:r>
        <w:rPr>
          <w:rFonts w:hint="eastAsia" w:ascii="仿宋" w:hAnsi="仿宋" w:eastAsia="仿宋"/>
          <w:sz w:val="28"/>
          <w:szCs w:val="28"/>
          <w:lang w:val="en-US" w:eastAsia="zh-CN"/>
        </w:rPr>
        <w:t>24</w:t>
      </w:r>
      <w:r>
        <w:rPr>
          <w:rFonts w:hint="eastAsia" w:ascii="仿宋" w:hAnsi="仿宋" w:eastAsia="仿宋"/>
          <w:sz w:val="28"/>
          <w:szCs w:val="28"/>
        </w:rPr>
        <w:t>日</w:t>
      </w:r>
    </w:p>
    <w:p w14:paraId="077111D2">
      <w:pPr>
        <w:spacing w:line="360" w:lineRule="auto"/>
        <w:ind w:right="640"/>
        <w:jc w:val="right"/>
        <w:rPr>
          <w:rFonts w:hint="eastAsia" w:ascii="仿宋" w:hAnsi="仿宋" w:eastAsia="仿宋"/>
          <w:sz w:val="28"/>
          <w:szCs w:val="28"/>
        </w:rPr>
      </w:pPr>
    </w:p>
    <w:p w14:paraId="76A373B8">
      <w:pPr>
        <w:spacing w:line="360" w:lineRule="auto"/>
        <w:ind w:right="640"/>
        <w:jc w:val="left"/>
        <w:rPr>
          <w:rFonts w:hint="eastAsia" w:ascii="仿宋" w:hAnsi="仿宋" w:eastAsia="仿宋"/>
          <w:sz w:val="28"/>
          <w:szCs w:val="28"/>
        </w:rPr>
      </w:pPr>
      <w:r>
        <w:rPr>
          <w:rFonts w:hint="eastAsia" w:ascii="仿宋" w:hAnsi="仿宋" w:eastAsia="仿宋"/>
          <w:sz w:val="28"/>
          <w:szCs w:val="28"/>
        </w:rPr>
        <w:t>意见与建议</w:t>
      </w:r>
      <w:r>
        <w:rPr>
          <w:rFonts w:hint="eastAsia" w:ascii="仿宋" w:hAnsi="仿宋" w:eastAsia="仿宋"/>
          <w:sz w:val="28"/>
          <w:szCs w:val="28"/>
        </w:rPr>
        <w:fldChar w:fldCharType="begin"/>
      </w:r>
      <w:r>
        <w:rPr>
          <w:rFonts w:hint="eastAsia" w:ascii="仿宋" w:hAnsi="仿宋" w:eastAsia="仿宋"/>
          <w:sz w:val="28"/>
          <w:szCs w:val="28"/>
        </w:rPr>
        <w:instrText xml:space="preserve"> HYPERLINK "mailto:请发至邮箱：Smart-Procurement@tuopai.biz" </w:instrText>
      </w:r>
      <w:r>
        <w:rPr>
          <w:rFonts w:hint="eastAsia" w:ascii="仿宋" w:hAnsi="仿宋" w:eastAsia="仿宋"/>
          <w:sz w:val="28"/>
          <w:szCs w:val="28"/>
        </w:rPr>
        <w:fldChar w:fldCharType="separate"/>
      </w:r>
      <w:r>
        <w:rPr>
          <w:rFonts w:hint="eastAsia" w:ascii="仿宋" w:hAnsi="仿宋" w:eastAsia="仿宋"/>
          <w:sz w:val="28"/>
          <w:szCs w:val="28"/>
        </w:rPr>
        <w:t>请发至邮箱：Smart-Procurement@tuopai.biz</w:t>
      </w:r>
      <w:r>
        <w:rPr>
          <w:rFonts w:hint="eastAsia" w:ascii="仿宋" w:hAnsi="仿宋" w:eastAsia="仿宋"/>
          <w:sz w:val="28"/>
          <w:szCs w:val="28"/>
        </w:rPr>
        <w:fldChar w:fldCharType="end"/>
      </w:r>
    </w:p>
    <w:p w14:paraId="0B03C611">
      <w:pPr>
        <w:spacing w:line="360" w:lineRule="auto"/>
        <w:ind w:right="640"/>
        <w:jc w:val="left"/>
        <w:rPr>
          <w:rFonts w:hint="eastAsia" w:ascii="仿宋" w:hAnsi="仿宋" w:eastAsia="仿宋"/>
          <w:sz w:val="28"/>
          <w:szCs w:val="28"/>
        </w:rPr>
      </w:pPr>
    </w:p>
    <w:p w14:paraId="58B6B448">
      <w:pPr>
        <w:spacing w:line="360" w:lineRule="auto"/>
        <w:ind w:right="640"/>
        <w:jc w:val="left"/>
        <w:rPr>
          <w:rFonts w:hint="eastAsia" w:ascii="仿宋" w:hAnsi="仿宋" w:eastAsia="仿宋"/>
          <w:sz w:val="28"/>
          <w:szCs w:val="28"/>
        </w:rPr>
      </w:pPr>
      <w:r>
        <w:rPr>
          <w:rFonts w:hint="eastAsia" w:ascii="仿宋" w:hAnsi="仿宋" w:eastAsia="仿宋"/>
          <w:sz w:val="28"/>
          <w:szCs w:val="28"/>
        </w:rPr>
        <w:t>投诉电话：</w:t>
      </w:r>
    </w:p>
    <w:p w14:paraId="7DE053A4">
      <w:pPr>
        <w:spacing w:line="360" w:lineRule="auto"/>
        <w:ind w:right="640"/>
        <w:jc w:val="left"/>
        <w:rPr>
          <w:rFonts w:hint="eastAsia" w:ascii="仿宋" w:hAnsi="仿宋" w:eastAsia="仿宋"/>
          <w:sz w:val="28"/>
          <w:szCs w:val="28"/>
        </w:rPr>
      </w:pPr>
      <w:r>
        <w:rPr>
          <w:rFonts w:hint="eastAsia" w:ascii="仿宋" w:hAnsi="仿宋" w:eastAsia="仿宋"/>
          <w:sz w:val="28"/>
          <w:szCs w:val="28"/>
        </w:rPr>
        <w:t>风 控 部：18982588111    邮箱：fkzx@tuopai.biz</w:t>
      </w:r>
    </w:p>
    <w:p w14:paraId="2B78E147">
      <w:pPr>
        <w:spacing w:line="360" w:lineRule="auto"/>
        <w:ind w:right="640"/>
        <w:jc w:val="left"/>
        <w:rPr>
          <w:rFonts w:hint="eastAsia" w:ascii="仿宋" w:hAnsi="仿宋" w:eastAsia="仿宋"/>
          <w:sz w:val="28"/>
          <w:szCs w:val="28"/>
        </w:rPr>
      </w:pPr>
      <w:r>
        <w:rPr>
          <w:rFonts w:hint="eastAsia" w:ascii="仿宋" w:hAnsi="仿宋" w:eastAsia="仿宋"/>
          <w:sz w:val="28"/>
          <w:szCs w:val="28"/>
        </w:rPr>
        <w:t>招采中心：028-61863833-2</w:t>
      </w:r>
    </w:p>
    <w:p w14:paraId="72F2D2E7">
      <w:pPr>
        <w:spacing w:line="360" w:lineRule="auto"/>
        <w:ind w:right="640"/>
        <w:jc w:val="right"/>
        <w:rPr>
          <w:rFonts w:hint="eastAsia" w:ascii="仿宋" w:hAnsi="仿宋" w:eastAsia="仿宋"/>
          <w:sz w:val="28"/>
          <w:szCs w:val="28"/>
        </w:rPr>
      </w:pPr>
    </w:p>
    <w:sectPr>
      <w:pgSz w:w="11906" w:h="16838"/>
      <w:pgMar w:top="1440" w:right="1700"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永中宋体">
    <w:altName w:val="宋体"/>
    <w:panose1 w:val="02010600030101010101"/>
    <w:charset w:val="86"/>
    <w:family w:val="moder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embedRegular r:id="rId1" w:fontKey="{C92ED11D-2F88-4497-8F08-AE43BF6B4E4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Y4YTA1MjY2NWJkNWQzNGViOWZiZTZkOGVmOGUxNm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6519"/>
    <w:rsid w:val="00506F80"/>
    <w:rsid w:val="00511B0C"/>
    <w:rsid w:val="005122AD"/>
    <w:rsid w:val="00512724"/>
    <w:rsid w:val="0051579A"/>
    <w:rsid w:val="005175C7"/>
    <w:rsid w:val="00517742"/>
    <w:rsid w:val="00520A9F"/>
    <w:rsid w:val="005215EA"/>
    <w:rsid w:val="005219A9"/>
    <w:rsid w:val="005225D9"/>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3B4"/>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4B01"/>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3C23"/>
    <w:rsid w:val="00BC4DAD"/>
    <w:rsid w:val="00BC594C"/>
    <w:rsid w:val="00BC5D98"/>
    <w:rsid w:val="00BC6506"/>
    <w:rsid w:val="00BC667A"/>
    <w:rsid w:val="00BC7E2E"/>
    <w:rsid w:val="00BD086C"/>
    <w:rsid w:val="00BD2078"/>
    <w:rsid w:val="00BD33C0"/>
    <w:rsid w:val="00BD4B47"/>
    <w:rsid w:val="00BD5CC3"/>
    <w:rsid w:val="00BD7DAF"/>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6FF3"/>
    <w:rsid w:val="00FE71F2"/>
    <w:rsid w:val="00FF009B"/>
    <w:rsid w:val="00FF0DFD"/>
    <w:rsid w:val="00FF1EA0"/>
    <w:rsid w:val="00FF37C8"/>
    <w:rsid w:val="00FF3812"/>
    <w:rsid w:val="00FF6D0C"/>
    <w:rsid w:val="00FF7C6C"/>
    <w:rsid w:val="022A7045"/>
    <w:rsid w:val="032E26CA"/>
    <w:rsid w:val="097F383C"/>
    <w:rsid w:val="0CD7653F"/>
    <w:rsid w:val="1D70376F"/>
    <w:rsid w:val="234B1F07"/>
    <w:rsid w:val="2E344EB1"/>
    <w:rsid w:val="2EC73BCB"/>
    <w:rsid w:val="319B6CE9"/>
    <w:rsid w:val="35273A47"/>
    <w:rsid w:val="38976D11"/>
    <w:rsid w:val="4D1706DC"/>
    <w:rsid w:val="59557379"/>
    <w:rsid w:val="59643544"/>
    <w:rsid w:val="5B580608"/>
    <w:rsid w:val="62BC7F7C"/>
    <w:rsid w:val="6FB6638D"/>
    <w:rsid w:val="753768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3"/>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32"/>
    <w:autoRedefine/>
    <w:unhideWhenUsed/>
    <w:qFormat/>
    <w:uiPriority w:val="0"/>
    <w:pPr>
      <w:jc w:val="left"/>
    </w:pPr>
  </w:style>
  <w:style w:type="paragraph" w:styleId="4">
    <w:name w:val="Body Text"/>
    <w:basedOn w:val="1"/>
    <w:next w:val="5"/>
    <w:autoRedefine/>
    <w:qFormat/>
    <w:uiPriority w:val="0"/>
    <w:pPr>
      <w:widowControl/>
      <w:spacing w:after="120"/>
      <w:jc w:val="left"/>
    </w:pPr>
    <w:rPr>
      <w:rFonts w:ascii="Calibri" w:hAnsi="Calibri"/>
      <w:kern w:val="0"/>
      <w:sz w:val="20"/>
      <w:szCs w:val="20"/>
    </w:rPr>
  </w:style>
  <w:style w:type="paragraph" w:styleId="5">
    <w:name w:val="Body Text First Indent"/>
    <w:basedOn w:val="4"/>
    <w:autoRedefine/>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6">
    <w:name w:val="Body Text Indent"/>
    <w:basedOn w:val="1"/>
    <w:autoRedefine/>
    <w:qFormat/>
    <w:uiPriority w:val="0"/>
    <w:pPr>
      <w:spacing w:line="440" w:lineRule="atLeast"/>
      <w:ind w:left="600"/>
    </w:pPr>
    <w:rPr>
      <w:color w:val="000000"/>
      <w:sz w:val="24"/>
      <w:szCs w:val="20"/>
    </w:rPr>
  </w:style>
  <w:style w:type="paragraph" w:styleId="7">
    <w:name w:val="Plain Text"/>
    <w:basedOn w:val="1"/>
    <w:link w:val="21"/>
    <w:autoRedefine/>
    <w:qFormat/>
    <w:uiPriority w:val="0"/>
    <w:rPr>
      <w:rFonts w:ascii="宋体" w:hAnsi="Courier New"/>
      <w:szCs w:val="21"/>
    </w:rPr>
  </w:style>
  <w:style w:type="paragraph" w:styleId="8">
    <w:name w:val="Date"/>
    <w:basedOn w:val="1"/>
    <w:next w:val="1"/>
    <w:autoRedefine/>
    <w:qFormat/>
    <w:uiPriority w:val="0"/>
    <w:pPr>
      <w:ind w:left="100" w:leftChars="2500"/>
    </w:pPr>
  </w:style>
  <w:style w:type="paragraph" w:styleId="9">
    <w:name w:val="Body Text Indent 2"/>
    <w:basedOn w:val="1"/>
    <w:link w:val="22"/>
    <w:autoRedefine/>
    <w:qFormat/>
    <w:uiPriority w:val="0"/>
    <w:pPr>
      <w:spacing w:after="120" w:line="480" w:lineRule="auto"/>
      <w:ind w:left="420" w:leftChars="200"/>
    </w:pPr>
  </w:style>
  <w:style w:type="paragraph" w:styleId="10">
    <w:name w:val="Balloon Text"/>
    <w:basedOn w:val="1"/>
    <w:link w:val="25"/>
    <w:autoRedefine/>
    <w:qFormat/>
    <w:uiPriority w:val="0"/>
    <w:rPr>
      <w:sz w:val="18"/>
      <w:szCs w:val="18"/>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2"/>
    <w:next w:val="1"/>
    <w:autoRedefine/>
    <w:qFormat/>
    <w:uiPriority w:val="0"/>
    <w:pPr>
      <w:tabs>
        <w:tab w:val="left" w:pos="720"/>
      </w:tabs>
      <w:spacing w:line="240" w:lineRule="auto"/>
    </w:pPr>
    <w:rPr>
      <w:rFonts w:ascii="Arial" w:hAnsi="Arial"/>
      <w:b w:val="0"/>
      <w:sz w:val="21"/>
    </w:rPr>
  </w:style>
  <w:style w:type="paragraph" w:styleId="14">
    <w:name w:val="Normal (Web)"/>
    <w:basedOn w:val="1"/>
    <w:autoRedefine/>
    <w:qFormat/>
    <w:uiPriority w:val="0"/>
    <w:pPr>
      <w:widowControl/>
      <w:spacing w:before="100" w:beforeAutospacing="1" w:after="100" w:afterAutospacing="1"/>
      <w:jc w:val="left"/>
    </w:pPr>
    <w:rPr>
      <w:rFonts w:ascii="宋体" w:hAnsi="宋体"/>
      <w:kern w:val="0"/>
      <w:sz w:val="24"/>
      <w:szCs w:val="20"/>
    </w:rPr>
  </w:style>
  <w:style w:type="paragraph" w:styleId="15">
    <w:name w:val="annotation subject"/>
    <w:basedOn w:val="3"/>
    <w:next w:val="3"/>
    <w:link w:val="33"/>
    <w:autoRedefine/>
    <w:semiHidden/>
    <w:unhideWhenUsed/>
    <w:qFormat/>
    <w:uiPriority w:val="0"/>
    <w:rPr>
      <w:b/>
      <w:bCs/>
    </w:rPr>
  </w:style>
  <w:style w:type="table" w:styleId="17">
    <w:name w:val="Table Grid"/>
    <w:basedOn w:val="1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autoRedefine/>
    <w:qFormat/>
    <w:uiPriority w:val="0"/>
    <w:rPr>
      <w:color w:val="0000FF"/>
      <w:u w:val="single"/>
    </w:rPr>
  </w:style>
  <w:style w:type="character" w:styleId="20">
    <w:name w:val="annotation reference"/>
    <w:basedOn w:val="18"/>
    <w:autoRedefine/>
    <w:unhideWhenUsed/>
    <w:qFormat/>
    <w:uiPriority w:val="0"/>
    <w:rPr>
      <w:sz w:val="21"/>
      <w:szCs w:val="21"/>
    </w:rPr>
  </w:style>
  <w:style w:type="character" w:customStyle="1" w:styleId="21">
    <w:name w:val="纯文本 字符"/>
    <w:basedOn w:val="18"/>
    <w:link w:val="7"/>
    <w:autoRedefine/>
    <w:qFormat/>
    <w:uiPriority w:val="0"/>
    <w:rPr>
      <w:rFonts w:ascii="宋体" w:hAnsi="Courier New"/>
      <w:kern w:val="2"/>
      <w:sz w:val="21"/>
      <w:szCs w:val="21"/>
    </w:rPr>
  </w:style>
  <w:style w:type="character" w:customStyle="1" w:styleId="22">
    <w:name w:val="正文文本缩进 2 字符"/>
    <w:basedOn w:val="18"/>
    <w:link w:val="9"/>
    <w:autoRedefine/>
    <w:qFormat/>
    <w:uiPriority w:val="0"/>
    <w:rPr>
      <w:kern w:val="2"/>
      <w:sz w:val="21"/>
      <w:szCs w:val="24"/>
    </w:rPr>
  </w:style>
  <w:style w:type="character" w:customStyle="1" w:styleId="23">
    <w:name w:val="标题 2 字符"/>
    <w:basedOn w:val="18"/>
    <w:link w:val="2"/>
    <w:autoRedefine/>
    <w:qFormat/>
    <w:uiPriority w:val="0"/>
    <w:rPr>
      <w:rFonts w:ascii="Cambria" w:hAnsi="Cambria" w:eastAsia="宋体" w:cs="Times New Roman"/>
      <w:b/>
      <w:bCs/>
      <w:kern w:val="2"/>
      <w:sz w:val="32"/>
      <w:szCs w:val="32"/>
    </w:rPr>
  </w:style>
  <w:style w:type="paragraph" w:styleId="24">
    <w:name w:val="List Paragraph"/>
    <w:basedOn w:val="1"/>
    <w:autoRedefine/>
    <w:qFormat/>
    <w:uiPriority w:val="34"/>
    <w:pPr>
      <w:ind w:firstLine="420" w:firstLineChars="200"/>
    </w:pPr>
  </w:style>
  <w:style w:type="character" w:customStyle="1" w:styleId="25">
    <w:name w:val="批注框文本 字符"/>
    <w:basedOn w:val="18"/>
    <w:link w:val="10"/>
    <w:autoRedefine/>
    <w:qFormat/>
    <w:uiPriority w:val="0"/>
    <w:rPr>
      <w:kern w:val="2"/>
      <w:sz w:val="18"/>
      <w:szCs w:val="18"/>
    </w:rPr>
  </w:style>
  <w:style w:type="character" w:styleId="26">
    <w:name w:val="Placeholder Text"/>
    <w:basedOn w:val="18"/>
    <w:autoRedefine/>
    <w:semiHidden/>
    <w:qFormat/>
    <w:uiPriority w:val="99"/>
    <w:rPr>
      <w:color w:val="808080"/>
    </w:rPr>
  </w:style>
  <w:style w:type="character" w:customStyle="1" w:styleId="27">
    <w:name w:val="样式1"/>
    <w:basedOn w:val="18"/>
    <w:autoRedefine/>
    <w:qFormat/>
    <w:uiPriority w:val="1"/>
    <w:rPr>
      <w:b/>
    </w:rPr>
  </w:style>
  <w:style w:type="character" w:customStyle="1" w:styleId="28">
    <w:name w:val="样式2"/>
    <w:basedOn w:val="18"/>
    <w:autoRedefine/>
    <w:qFormat/>
    <w:uiPriority w:val="1"/>
  </w:style>
  <w:style w:type="character" w:customStyle="1" w:styleId="29">
    <w:name w:val="样式3"/>
    <w:basedOn w:val="18"/>
    <w:autoRedefine/>
    <w:qFormat/>
    <w:uiPriority w:val="1"/>
    <w:rPr>
      <w:b/>
    </w:rPr>
  </w:style>
  <w:style w:type="character" w:customStyle="1" w:styleId="30">
    <w:name w:val="样式4"/>
    <w:basedOn w:val="18"/>
    <w:autoRedefine/>
    <w:qFormat/>
    <w:uiPriority w:val="1"/>
    <w:rPr>
      <w:b/>
    </w:rPr>
  </w:style>
  <w:style w:type="character" w:customStyle="1" w:styleId="31">
    <w:name w:val="样式5"/>
    <w:basedOn w:val="22"/>
    <w:autoRedefine/>
    <w:qFormat/>
    <w:uiPriority w:val="1"/>
    <w:rPr>
      <w:rFonts w:eastAsia="Times New Roman"/>
      <w:kern w:val="2"/>
      <w:sz w:val="21"/>
      <w:szCs w:val="24"/>
    </w:rPr>
  </w:style>
  <w:style w:type="character" w:customStyle="1" w:styleId="32">
    <w:name w:val="批注文字 字符"/>
    <w:basedOn w:val="18"/>
    <w:link w:val="3"/>
    <w:autoRedefine/>
    <w:qFormat/>
    <w:uiPriority w:val="0"/>
    <w:rPr>
      <w:kern w:val="2"/>
      <w:sz w:val="21"/>
      <w:szCs w:val="24"/>
    </w:rPr>
  </w:style>
  <w:style w:type="character" w:customStyle="1" w:styleId="33">
    <w:name w:val="批注主题 字符"/>
    <w:basedOn w:val="32"/>
    <w:link w:val="15"/>
    <w:autoRedefine/>
    <w:semiHidden/>
    <w:qFormat/>
    <w:uiPriority w:val="0"/>
    <w:rPr>
      <w:b/>
      <w:bCs/>
      <w:kern w:val="2"/>
      <w:sz w:val="21"/>
      <w:szCs w:val="24"/>
    </w:rPr>
  </w:style>
  <w:style w:type="paragraph" w:customStyle="1" w:styleId="34">
    <w:name w:val="Revision"/>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2057</Words>
  <Characters>2333</Characters>
  <Lines>17</Lines>
  <Paragraphs>4</Paragraphs>
  <TotalTime>4</TotalTime>
  <ScaleCrop>false</ScaleCrop>
  <LinksUpToDate>false</LinksUpToDate>
  <CharactersWithSpaces>2367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2026-04-23T09:05:13Z</dcterms:modified>
  <dc:subject>仓储容器招标邀请</dc:subject>
  <dc:title>招标文件编号：20800008</dc:title>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C923865BF49B437BB0C7C2FE5ED57FBE_13</vt:lpwstr>
  </property>
  <property fmtid="{D5CDD505-2E9C-101B-9397-08002B2CF9AE}" pid="4" name="KSOTemplateDocerSaveRecord">
    <vt:lpwstr>eyJoZGlkIjoiMWY1ZTkxNDhiMzFkMTQzMzllNWU2OTVkM2EwMzA0ZWYiLCJ1c2VySWQiOiI1ODQ0MTE5MDUifQ==</vt:lpwstr>
  </property>
</Properties>
</file>