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0E011">
      <w:pPr>
        <w:jc w:val="center"/>
        <w:rPr>
          <w:lang w:val="en-US"/>
        </w:rPr>
      </w:pPr>
      <w:r>
        <w:rPr>
          <w:lang w:val="en-US"/>
        </w:rPr>
        <w:t>四川沱牌舍得营销有限公司</w:t>
      </w:r>
    </w:p>
    <w:p w14:paraId="5E929F45">
      <w:pPr>
        <w:jc w:val="center"/>
        <w:rPr>
          <w:rFonts w:hint="eastAsia"/>
          <w:sz w:val="28"/>
          <w:szCs w:val="28"/>
        </w:rPr>
      </w:pPr>
      <w:r>
        <w:rPr>
          <w:rFonts w:hint="default"/>
          <w:sz w:val="28"/>
          <w:szCs w:val="28"/>
          <w:lang w:val="en-US"/>
        </w:rPr>
        <w:t>"舍得和ta的朋友们—黑金晚宴"活动策划及执行项目</w:t>
      </w:r>
      <w:r>
        <w:rPr>
          <w:sz w:val="28"/>
          <w:szCs w:val="28"/>
        </w:rPr>
        <w:t>招标公告</w:t>
      </w:r>
    </w:p>
    <w:p w14:paraId="39F4F541">
      <w:pPr>
        <w:jc w:val="center"/>
        <w:rPr>
          <w:rFonts w:hint="eastAsia"/>
          <w:sz w:val="28"/>
          <w:szCs w:val="28"/>
        </w:rPr>
      </w:pPr>
      <w:r>
        <w:rPr>
          <w:sz w:val="28"/>
          <w:szCs w:val="28"/>
        </w:rPr>
        <w:t>舍司招(202</w:t>
      </w:r>
      <w:r>
        <w:rPr>
          <w:rFonts w:hint="default"/>
          <w:sz w:val="28"/>
          <w:szCs w:val="28"/>
          <w:lang w:val="en-US"/>
        </w:rPr>
        <w:t>6</w:t>
      </w:r>
      <w:r>
        <w:rPr>
          <w:sz w:val="28"/>
          <w:szCs w:val="28"/>
        </w:rPr>
        <w:t>)-ZC3-</w:t>
      </w:r>
      <w:r>
        <w:rPr>
          <w:rFonts w:hint="default"/>
          <w:sz w:val="28"/>
          <w:szCs w:val="28"/>
          <w:lang w:val="en-US"/>
        </w:rPr>
        <w:t>25-2</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default"/>
          <w:b/>
          <w:bCs/>
          <w:u w:val="single"/>
          <w:lang w:val="en-US"/>
        </w:rPr>
        <w:t>"舍得和ta的朋友们—黑金晚宴"活动策划及执行项目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default"/>
          <w:lang w:val="en-US"/>
        </w:rPr>
        <w:t>"舍得和ta的朋友们—黑金晚宴"活动策划及执行项目</w:t>
      </w:r>
      <w:r>
        <w:rPr>
          <w:rFonts w:hint="eastAsia"/>
        </w:rPr>
        <w:t>项目</w:t>
      </w:r>
    </w:p>
    <w:p w14:paraId="5DBDEBED">
      <w:pPr>
        <w:rPr>
          <w:rFonts w:hint="eastAsia" w:cs="Times New Roman"/>
          <w:lang w:val="en-US"/>
        </w:rPr>
      </w:pPr>
      <w:r>
        <w:rPr>
          <w:rFonts w:hint="eastAsia" w:cs="Times New Roman"/>
          <w:lang w:val="en-US"/>
        </w:rPr>
        <w:t>1.2项目背景：</w:t>
      </w:r>
    </w:p>
    <w:p w14:paraId="08E7DC9D">
      <w:pPr>
        <w:rPr>
          <w:rFonts w:hint="eastAsia" w:cs="Times New Roman"/>
          <w:lang w:val="en-US"/>
        </w:rPr>
      </w:pPr>
      <w:r>
        <w:rPr>
          <w:rFonts w:hint="eastAsia" w:cs="Times New Roman"/>
          <w:lang w:val="en-US"/>
        </w:rPr>
        <w:t>开展“舍得和ta的朋友们——黑金晚宴”，建立大众对于舍得老酒认知，形成市场爆点事件，同时定向邀约TOP团购会员及核心客户，强化价值认同与社交属性，推动高价值转化，形成“认知—认同—购买—复购”的可持续闭环运营体系，支撑舍得老酒战略落地，为强化舍得老酒战略，聚焦资源将老酒“做成名片、做出价值、做出体系”。</w:t>
      </w:r>
    </w:p>
    <w:p w14:paraId="4323A273">
      <w:pPr>
        <w:rPr>
          <w:rFonts w:hint="eastAsia" w:cs="Times New Roman"/>
          <w:lang w:val="en-US"/>
        </w:rPr>
      </w:pPr>
      <w:r>
        <w:rPr>
          <w:rFonts w:hint="eastAsia" w:cs="Times New Roman"/>
          <w:lang w:val="en-US"/>
        </w:rPr>
        <w:t>1.3项目主要服务内容：</w:t>
      </w:r>
    </w:p>
    <w:p w14:paraId="21D559AF">
      <w:pPr>
        <w:rPr>
          <w:rFonts w:hint="eastAsia" w:cs="Times New Roman"/>
          <w:lang w:val="en-US"/>
        </w:rPr>
      </w:pPr>
      <w:r>
        <w:rPr>
          <w:rFonts w:hint="eastAsia" w:cs="Times New Roman"/>
          <w:lang w:val="en-US"/>
        </w:rPr>
        <w:t>①整体活动的创意、方案策划及落地执行，包括但不限于：整体方案策划、场景设计及搭建规划、体验内容规划、视觉及传播物料设计等，以及物料制作、现场搭建、演绎、整体运营等。</w:t>
      </w:r>
    </w:p>
    <w:p w14:paraId="720CE932">
      <w:pPr>
        <w:rPr>
          <w:rFonts w:hint="eastAsia" w:cs="Times New Roman"/>
          <w:lang w:val="en-US"/>
        </w:rPr>
      </w:pPr>
      <w:r>
        <w:rPr>
          <w:rFonts w:hint="eastAsia" w:cs="Times New Roman"/>
          <w:lang w:val="en-US"/>
        </w:rPr>
        <w:t>②执行城市：德州、绵阳、天津、枣庄、成都、廊坊（暂定6城，实际执行城市及场次以实际签约为准）。</w:t>
      </w:r>
    </w:p>
    <w:p w14:paraId="2AD680B5">
      <w:pPr>
        <w:rPr>
          <w:rFonts w:hint="eastAsia" w:cs="Times New Roman"/>
          <w:lang w:val="en-US"/>
        </w:rPr>
      </w:pPr>
      <w:r>
        <w:rPr>
          <w:rFonts w:hint="eastAsia" w:cs="Times New Roman"/>
          <w:lang w:val="en-US"/>
        </w:rPr>
        <w:t>1.4项目实施时间：2026年7月-10月（以实际签约时间为准）</w:t>
      </w:r>
    </w:p>
    <w:p w14:paraId="6C67885C">
      <w:pPr>
        <w:rPr>
          <w:rFonts w:hint="eastAsia" w:cs="Times New Roman"/>
          <w:lang w:val="en-US"/>
        </w:rPr>
      </w:pPr>
      <w:r>
        <w:rPr>
          <w:rFonts w:hint="eastAsia" w:cs="Times New Roman"/>
          <w:lang w:val="en-US"/>
        </w:rPr>
        <w:t xml:space="preserve">1.5质量要求：通用、行业专属及互联网信息安全要求应当符合国家、所属行业和项目实施地地方现行强制和推荐执行的法律法规及标准，能够完全满足招标人的业务需要。  </w:t>
      </w:r>
    </w:p>
    <w:p w14:paraId="1BCA1C86">
      <w:pPr>
        <w:rPr>
          <w:rFonts w:hint="eastAsia" w:cs="Times New Roman"/>
          <w:lang w:val="en-US"/>
        </w:rPr>
      </w:pPr>
      <w:r>
        <w:rPr>
          <w:rFonts w:hint="eastAsia" w:cs="Times New Roman"/>
          <w:lang w:val="en-US"/>
        </w:rPr>
        <w:t>1.6验收方式：提供结案报告书面验收。</w:t>
      </w:r>
    </w:p>
    <w:p w14:paraId="124AA493">
      <w:pPr>
        <w:rPr>
          <w:rFonts w:hint="eastAsia" w:cs="Times New Roman"/>
          <w:lang w:val="en-US"/>
        </w:rPr>
      </w:pPr>
      <w:r>
        <w:rPr>
          <w:rFonts w:hint="eastAsia" w:cs="Times New Roman"/>
          <w:lang w:val="en-US"/>
        </w:rPr>
        <w:t>1.7付款方式：根据项目执行情况和招标人验收合格情况付款，投标人申请付款前均应提供等额增值税专用发票。</w:t>
      </w:r>
    </w:p>
    <w:p w14:paraId="1B4E371B">
      <w:pPr>
        <w:rPr>
          <w:rFonts w:hint="eastAsia" w:cs="Times New Roman"/>
          <w:lang w:val="en-US"/>
        </w:rPr>
      </w:pPr>
      <w:r>
        <w:rPr>
          <w:rFonts w:hint="eastAsia" w:cs="Times New Roman"/>
          <w:lang w:val="en-US"/>
        </w:rPr>
        <w:t>1.8 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63DFD2C">
      <w:pPr>
        <w:rPr>
          <w:rFonts w:hint="eastAsia"/>
        </w:rPr>
      </w:pPr>
    </w:p>
    <w:p w14:paraId="6A7566DF">
      <w:pPr>
        <w:rPr>
          <w:rFonts w:hint="eastAsia"/>
        </w:rPr>
      </w:pPr>
      <w:r>
        <w:rPr>
          <w:rFonts w:hint="eastAsia"/>
        </w:rPr>
        <w:t>三、</w:t>
      </w:r>
      <w:r>
        <w:t>投标保证金：</w:t>
      </w:r>
    </w:p>
    <w:p w14:paraId="34F87864">
      <w:pPr>
        <w:rPr>
          <w:rFonts w:hint="eastAsia" w:cs="Times New Roman"/>
        </w:rPr>
      </w:pPr>
      <w:r>
        <w:rPr>
          <w:rFonts w:hint="eastAsia" w:cs="Times New Roman"/>
        </w:rPr>
        <w:t>本项目不涉及投标保证金。</w:t>
      </w:r>
    </w:p>
    <w:p w14:paraId="7256969B">
      <w:pPr>
        <w:numPr>
          <w:ilvl w:val="255"/>
          <w:numId w:val="0"/>
        </w:numPr>
        <w:ind w:right="-301" w:rightChars="-94"/>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cs="Times New Roman"/>
          <w:lang w:val="en-US" w:eastAsia="zh-CN"/>
        </w:rPr>
        <w:t xml:space="preserve">张女士 </w:t>
      </w:r>
      <w:r>
        <w:rPr>
          <w:rFonts w:hint="eastAsia" w:cs="Times New Roman"/>
        </w:rPr>
        <w:t xml:space="preserve"> 电话 </w:t>
      </w:r>
      <w:r>
        <w:rPr>
          <w:rFonts w:hint="eastAsia" w:cs="Times New Roman"/>
          <w:lang w:val="en-US" w:eastAsia="zh-CN"/>
        </w:rPr>
        <w:t>15828138549</w:t>
      </w:r>
      <w:r>
        <w:rPr>
          <w:rFonts w:hint="eastAsia" w:cs="Times New Roman"/>
        </w:rPr>
        <w:t xml:space="preserve">  </w:t>
      </w:r>
      <w:r>
        <w:rPr>
          <w:rFonts w:hint="eastAsia"/>
        </w:rPr>
        <w:t xml:space="preserve"> 09:30-17:30</w:t>
      </w:r>
    </w:p>
    <w:p w14:paraId="1E65B0F4">
      <w:pPr>
        <w:rPr>
          <w:rFonts w:hint="eastAsia"/>
        </w:rPr>
      </w:pPr>
      <w:r>
        <w:rPr>
          <w:rFonts w:hint="eastAsia"/>
        </w:rPr>
        <w:t>②报名截止时间:202</w:t>
      </w:r>
      <w:r>
        <w:rPr>
          <w:rFonts w:hint="eastAsia"/>
          <w:lang w:val="en-US" w:eastAsia="zh-CN"/>
        </w:rPr>
        <w:t>6</w:t>
      </w:r>
      <w:r>
        <w:rPr>
          <w:rFonts w:hint="eastAsia"/>
        </w:rPr>
        <w:t>年</w:t>
      </w:r>
      <w:r>
        <w:rPr>
          <w:rFonts w:hint="default"/>
          <w:lang w:val="en-US"/>
        </w:rPr>
        <w:t>6</w:t>
      </w:r>
      <w:r>
        <w:rPr>
          <w:rFonts w:hint="eastAsia"/>
        </w:rPr>
        <w:t>月</w:t>
      </w:r>
      <w:r>
        <w:rPr>
          <w:rFonts w:hint="default"/>
          <w:lang w:val="en-US"/>
        </w:rPr>
        <w:t>1</w:t>
      </w:r>
      <w:r>
        <w:rPr>
          <w:rFonts w:hint="eastAsia"/>
        </w:rPr>
        <w:t>日</w:t>
      </w:r>
      <w:r>
        <w:rPr>
          <w:rFonts w:hint="default"/>
          <w:lang w:val="en-US"/>
        </w:rPr>
        <w:t xml:space="preserve"> </w:t>
      </w:r>
      <w:r>
        <w:rPr>
          <w:rFonts w:hint="eastAsia"/>
          <w:lang w:val="en-US" w:eastAsia="zh-CN"/>
        </w:rPr>
        <w:t>上午</w:t>
      </w:r>
      <w:r>
        <w:rPr>
          <w:rFonts w:hint="eastAsia"/>
        </w:rPr>
        <w:t>1</w:t>
      </w:r>
      <w:r>
        <w:rPr>
          <w:rFonts w:hint="eastAsia"/>
          <w:lang w:val="en-US" w:eastAsia="zh-CN"/>
        </w:rPr>
        <w:t>1</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6</w:t>
      </w:r>
      <w:r>
        <w:t>月</w:t>
      </w:r>
      <w:r>
        <w:rPr>
          <w:rFonts w:hint="eastAsia"/>
        </w:rPr>
        <w:t>3日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6</w:t>
      </w:r>
      <w:r>
        <w:t>月</w:t>
      </w:r>
      <w:r>
        <w:rPr>
          <w:rFonts w:hint="eastAsia"/>
        </w:rPr>
        <w:t>1</w:t>
      </w:r>
      <w:r>
        <w:rPr>
          <w:rFonts w:hint="eastAsia"/>
          <w:lang w:val="en-US" w:eastAsia="zh-CN"/>
        </w:rPr>
        <w:t>8</w:t>
      </w:r>
      <w:r>
        <w:rPr>
          <w:rFonts w:hint="eastAsia"/>
        </w:rPr>
        <w:t>日</w:t>
      </w:r>
    </w:p>
    <w:p w14:paraId="4A8EE02C">
      <w:pPr>
        <w:rPr>
          <w:rFonts w:hint="eastAsia"/>
        </w:rPr>
      </w:pPr>
      <w:r>
        <w:rPr>
          <w:rFonts w:hint="eastAsia"/>
        </w:rPr>
        <w:t>本项目预计开标时间：202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19</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4245141A">
      <w:pPr>
        <w:ind w:right="320"/>
        <w:jc w:val="right"/>
        <w:rPr>
          <w:rFonts w:hint="default"/>
          <w:lang w:val="en-US"/>
        </w:rPr>
      </w:pPr>
      <w:r>
        <w:rPr>
          <w:rFonts w:hint="default"/>
          <w:lang w:val="en-US"/>
        </w:rPr>
        <w:t>四川沱牌舍得营销有限公司</w:t>
      </w:r>
    </w:p>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25</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217AC3B4">
            <w:pPr>
              <w:pStyle w:val="2"/>
              <w:ind w:left="0" w:leftChars="0" w:firstLine="0" w:firstLineChars="0"/>
              <w:rPr>
                <w:rFonts w:hint="eastAsia" w:ascii="仿宋" w:hAnsi="仿宋"/>
                <w:b w:val="0"/>
                <w:bCs w:val="0"/>
              </w:rPr>
            </w:pPr>
            <w:r>
              <w:rPr>
                <w:rFonts w:hint="eastAsia" w:ascii="仿宋" w:hAnsi="仿宋"/>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5E3CD1D2">
            <w:pPr>
              <w:pStyle w:val="2"/>
              <w:ind w:left="0" w:leftChars="0" w:firstLine="0" w:firstLineChars="0"/>
              <w:rPr>
                <w:rFonts w:hint="eastAsia" w:ascii="仿宋" w:hAnsi="仿宋"/>
                <w:b w:val="0"/>
                <w:bCs w:val="0"/>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ind w:left="0" w:leftChars="0" w:firstLine="0" w:firstLineChars="0"/>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ind w:left="0" w:leftChars="0" w:firstLine="0" w:firstLineChars="0"/>
              <w:rPr>
                <w:rFonts w:hint="eastAsia"/>
              </w:rPr>
            </w:pPr>
            <w:r>
              <w:rPr>
                <w:rFonts w:hint="eastAsia"/>
              </w:rPr>
              <w:t>应具备丰富的大型活动策</w:t>
            </w:r>
            <w:bookmarkStart w:id="2" w:name="_GoBack"/>
            <w:bookmarkEnd w:id="2"/>
            <w:r>
              <w:rPr>
                <w:rFonts w:hint="eastAsia"/>
              </w:rPr>
              <w:t>划执行项目相关的执行经验，能提供5年内（2021年-至今）不少于2例与本项目相关的大型活动执行经验案例，单个案例合同金额不少于100万元，其中至少1例为巡回活动案例（单个合同非同一地点执行两场及以上场次的活动案例视为巡回活动案例），服务过国内外知名品牌，高端烈性酒类饮品优先提供，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ind w:left="0" w:leftChars="0" w:firstLine="0" w:firstLineChars="0"/>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6387668"/>
    <w:rsid w:val="1E18008F"/>
    <w:rsid w:val="319B6CE9"/>
    <w:rsid w:val="38976D11"/>
    <w:rsid w:val="4A5B5888"/>
    <w:rsid w:val="532A1909"/>
    <w:rsid w:val="5B580608"/>
    <w:rsid w:val="70836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1897</Words>
  <Characters>2117</Characters>
  <Lines>19</Lines>
  <Paragraphs>5</Paragraphs>
  <TotalTime>1</TotalTime>
  <ScaleCrop>false</ScaleCrop>
  <LinksUpToDate>false</LinksUpToDate>
  <CharactersWithSpaces>2133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2026-05-25T01:51:17Z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10FBDD19B1D549DEB2ADA35FBCE85E41</vt:lpwstr>
  </property>
  <property fmtid="{D5CDD505-2E9C-101B-9397-08002B2CF9AE}" pid="4" name="KSOTemplateDocerSaveRecord">
    <vt:lpwstr>eyJoZGlkIjoiMTgxZTIxZDk4ODM0YTNkMDcxM2M3NWM3NGM4YmJmZTAiLCJ1c2VySWQiOiI1ODkwMjY4NzMifQ==</vt:lpwstr>
  </property>
</Properties>
</file>