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8DA445">
      <w:pPr>
        <w:pStyle w:val="2"/>
        <w:tabs>
          <w:tab w:val="right" w:leader="dot" w:pos="9471"/>
        </w:tabs>
        <w:spacing w:before="100" w:beforeAutospacing="1" w:after="100" w:afterAutospacing="1" w:line="440" w:lineRule="exact"/>
        <w:ind w:firstLine="0" w:firstLineChars="0"/>
      </w:pPr>
      <w:bookmarkStart w:id="0" w:name="_Toc17546_WPSOffice_Level2"/>
      <w:bookmarkStart w:id="1" w:name="_Toc17503"/>
      <w:r>
        <w:rPr>
          <w:rFonts w:hint="eastAsia"/>
          <w:sz w:val="32"/>
          <w:szCs w:val="32"/>
        </w:rPr>
        <w:t>第一章</w:t>
      </w:r>
      <w:r>
        <w:rPr>
          <w:sz w:val="32"/>
          <w:szCs w:val="32"/>
        </w:rPr>
        <w:t xml:space="preserve">  </w:t>
      </w:r>
      <w:r>
        <w:rPr>
          <w:rFonts w:hint="eastAsia"/>
          <w:sz w:val="32"/>
          <w:szCs w:val="32"/>
        </w:rPr>
        <w:t>招标公告</w:t>
      </w:r>
      <w:bookmarkEnd w:id="0"/>
      <w:bookmarkEnd w:id="1"/>
    </w:p>
    <w:p w14:paraId="0EF51460">
      <w:pPr>
        <w:tabs>
          <w:tab w:val="right" w:leader="dot" w:pos="9471"/>
        </w:tabs>
        <w:spacing w:line="440" w:lineRule="exact"/>
        <w:ind w:firstLine="0" w:firstLineChars="0"/>
        <w:jc w:val="center"/>
        <w:rPr>
          <w:b/>
          <w:bCs/>
          <w:sz w:val="32"/>
          <w:szCs w:val="32"/>
        </w:rPr>
      </w:pPr>
      <w:r>
        <w:rPr>
          <w:rFonts w:hint="eastAsia" w:hAnsi="宋体"/>
          <w:b/>
          <w:bCs/>
          <w:sz w:val="32"/>
          <w:szCs w:val="32"/>
        </w:rPr>
        <w:t>舍得酒业股份有限公司</w:t>
      </w:r>
    </w:p>
    <w:p w14:paraId="5954356B">
      <w:pPr>
        <w:tabs>
          <w:tab w:val="right" w:leader="dot" w:pos="9471"/>
        </w:tabs>
        <w:spacing w:line="440" w:lineRule="exact"/>
        <w:ind w:firstLine="0" w:firstLineChars="0"/>
        <w:jc w:val="center"/>
        <w:rPr>
          <w:rFonts w:hint="eastAsia" w:hAnsi="宋体"/>
          <w:b/>
          <w:bCs/>
          <w:sz w:val="32"/>
          <w:szCs w:val="32"/>
        </w:rPr>
      </w:pPr>
      <w:r>
        <w:rPr>
          <w:rFonts w:hint="eastAsia" w:hAnsi="宋体"/>
          <w:b/>
          <w:bCs/>
          <w:sz w:val="32"/>
          <w:szCs w:val="32"/>
        </w:rPr>
        <w:t>消防设施驻场维保服务项目</w:t>
      </w:r>
    </w:p>
    <w:p w14:paraId="2E2FFA4E">
      <w:pPr>
        <w:tabs>
          <w:tab w:val="right" w:leader="dot" w:pos="9471"/>
        </w:tabs>
        <w:spacing w:line="440" w:lineRule="exact"/>
        <w:ind w:firstLine="0" w:firstLineChars="0"/>
        <w:jc w:val="center"/>
        <w:rPr>
          <w:b/>
          <w:bCs/>
          <w:sz w:val="32"/>
          <w:szCs w:val="32"/>
        </w:rPr>
      </w:pPr>
      <w:r>
        <w:rPr>
          <w:rFonts w:hint="eastAsia" w:hAnsi="宋体"/>
          <w:b/>
          <w:bCs/>
          <w:sz w:val="32"/>
          <w:szCs w:val="32"/>
        </w:rPr>
        <w:t>招标公告</w:t>
      </w:r>
    </w:p>
    <w:p w14:paraId="286128C3">
      <w:pPr>
        <w:tabs>
          <w:tab w:val="right" w:leader="dot" w:pos="9471"/>
        </w:tabs>
        <w:spacing w:line="600" w:lineRule="exact"/>
        <w:ind w:firstLine="0" w:firstLineChars="0"/>
        <w:jc w:val="center"/>
        <w:outlineLvl w:val="0"/>
        <w:rPr>
          <w:rFonts w:hint="eastAsia"/>
          <w:b/>
          <w:sz w:val="28"/>
          <w:szCs w:val="28"/>
        </w:rPr>
      </w:pPr>
      <w:bookmarkStart w:id="2" w:name="_Toc20813"/>
      <w:bookmarkStart w:id="3" w:name="_Toc26478"/>
      <w:r>
        <w:rPr>
          <w:rFonts w:hint="eastAsia" w:hAnsi="宋体"/>
          <w:b/>
          <w:bCs/>
        </w:rPr>
        <w:t>舍司招（2026）ZC2-010</w:t>
      </w:r>
      <w:r>
        <w:rPr>
          <w:rFonts w:hint="eastAsia"/>
          <w:b/>
          <w:sz w:val="28"/>
          <w:szCs w:val="28"/>
        </w:rPr>
        <w:t>号</w:t>
      </w:r>
    </w:p>
    <w:p w14:paraId="56DAC53B">
      <w:pPr>
        <w:spacing w:line="360" w:lineRule="auto"/>
        <w:rPr>
          <w:rFonts w:ascii="宋体" w:hAnsi="宋体"/>
          <w:b/>
          <w:bCs/>
        </w:rPr>
      </w:pPr>
      <w:r>
        <w:rPr>
          <w:rFonts w:hint="eastAsia" w:ascii="宋体" w:hAnsi="宋体"/>
          <w:b/>
          <w:bCs/>
        </w:rPr>
        <w:t>一. 招标条件</w:t>
      </w:r>
    </w:p>
    <w:p w14:paraId="4EFEFF4E">
      <w:pPr>
        <w:spacing w:line="360" w:lineRule="auto"/>
        <w:ind w:firstLine="480"/>
        <w:contextualSpacing/>
        <w:rPr>
          <w:rFonts w:ascii="宋体" w:hAnsi="宋体"/>
          <w:snapToGrid w:val="0"/>
          <w:kern w:val="0"/>
          <w:position w:val="-2"/>
        </w:rPr>
      </w:pPr>
      <w:r>
        <w:rPr>
          <w:rFonts w:hint="eastAsia" w:ascii="宋体" w:hAnsi="宋体"/>
          <w:snapToGrid w:val="0"/>
          <w:kern w:val="0"/>
        </w:rPr>
        <w:t>本招标项目</w:t>
      </w:r>
      <w:bookmarkStart w:id="4" w:name="_Hlk108368586"/>
      <w:bookmarkStart w:id="5" w:name="_Hlk108363423"/>
      <w:r>
        <w:rPr>
          <w:rFonts w:hint="eastAsia" w:ascii="宋体" w:hAnsi="宋体"/>
          <w:snapToGrid w:val="0"/>
          <w:kern w:val="0"/>
          <w:u w:val="single"/>
        </w:rPr>
        <w:t>舍得酒业股份有限公司产研总部消防设施</w:t>
      </w:r>
      <w:bookmarkEnd w:id="4"/>
      <w:r>
        <w:rPr>
          <w:rFonts w:hint="eastAsia" w:ascii="宋体" w:hAnsi="宋体"/>
          <w:snapToGrid w:val="0"/>
          <w:kern w:val="0"/>
          <w:u w:val="single"/>
        </w:rPr>
        <w:t>驻场维保服务项目</w:t>
      </w:r>
      <w:bookmarkEnd w:id="5"/>
      <w:r>
        <w:rPr>
          <w:rFonts w:hint="eastAsia" w:ascii="宋体" w:hAnsi="宋体"/>
          <w:snapToGrid w:val="0"/>
          <w:kern w:val="0"/>
        </w:rPr>
        <w:t>已由</w:t>
      </w:r>
      <w:r>
        <w:rPr>
          <w:rFonts w:hint="eastAsia" w:ascii="宋体" w:hAnsi="宋体" w:cs="宋体"/>
          <w:snapToGrid w:val="0"/>
          <w:kern w:val="0"/>
          <w:u w:val="single"/>
        </w:rPr>
        <w:t>舍得酒业股份有限公司</w:t>
      </w:r>
      <w:r>
        <w:rPr>
          <w:rFonts w:hint="eastAsia" w:ascii="宋体" w:hAnsi="宋体"/>
          <w:snapToGrid w:val="0"/>
          <w:kern w:val="0"/>
        </w:rPr>
        <w:t>确定实施，项目业主为</w:t>
      </w:r>
      <w:r>
        <w:rPr>
          <w:rFonts w:hint="eastAsia" w:ascii="宋体" w:hAnsi="宋体"/>
          <w:snapToGrid w:val="0"/>
          <w:kern w:val="0"/>
          <w:u w:val="single"/>
        </w:rPr>
        <w:t xml:space="preserve"> 舍得酒业股份有限公司 </w:t>
      </w:r>
      <w:r>
        <w:rPr>
          <w:rFonts w:hint="eastAsia" w:ascii="宋体" w:hAnsi="宋体"/>
          <w:snapToGrid w:val="0"/>
          <w:kern w:val="0"/>
        </w:rPr>
        <w:t>，资金来自</w:t>
      </w:r>
      <w:r>
        <w:rPr>
          <w:rFonts w:hint="eastAsia" w:ascii="宋体" w:hAnsi="宋体"/>
          <w:snapToGrid w:val="0"/>
          <w:kern w:val="0"/>
          <w:u w:val="single"/>
        </w:rPr>
        <w:t xml:space="preserve"> </w:t>
      </w:r>
      <w:r>
        <w:rPr>
          <w:rFonts w:hint="eastAsia" w:ascii="宋体" w:hAnsi="宋体" w:cs="宋体"/>
          <w:snapToGrid w:val="0"/>
          <w:kern w:val="0"/>
          <w:u w:val="single"/>
        </w:rPr>
        <w:t>业主自筹</w:t>
      </w:r>
      <w:r>
        <w:rPr>
          <w:rFonts w:hint="eastAsia" w:ascii="宋体" w:hAnsi="宋体"/>
          <w:snapToGrid w:val="0"/>
          <w:kern w:val="0"/>
          <w:u w:val="single"/>
        </w:rPr>
        <w:t xml:space="preserve"> </w:t>
      </w:r>
      <w:r>
        <w:rPr>
          <w:rFonts w:hint="eastAsia" w:ascii="宋体" w:hAnsi="宋体"/>
          <w:snapToGrid w:val="0"/>
          <w:kern w:val="0"/>
        </w:rPr>
        <w:t>，项目出资比例为</w:t>
      </w:r>
      <w:r>
        <w:rPr>
          <w:rFonts w:hint="eastAsia" w:ascii="宋体" w:hAnsi="宋体"/>
          <w:snapToGrid w:val="0"/>
          <w:kern w:val="0"/>
          <w:u w:val="single"/>
        </w:rPr>
        <w:t xml:space="preserve"> 100% </w:t>
      </w:r>
      <w:r>
        <w:rPr>
          <w:rFonts w:hint="eastAsia" w:ascii="宋体" w:hAnsi="宋体"/>
          <w:snapToGrid w:val="0"/>
          <w:kern w:val="0"/>
        </w:rPr>
        <w:t>，招标人</w:t>
      </w:r>
      <w:r>
        <w:rPr>
          <w:rFonts w:hint="eastAsia" w:ascii="宋体" w:hAnsi="宋体"/>
          <w:snapToGrid w:val="0"/>
          <w:kern w:val="0"/>
          <w:position w:val="-2"/>
        </w:rPr>
        <w:t>为</w:t>
      </w:r>
      <w:r>
        <w:rPr>
          <w:rFonts w:hint="eastAsia" w:ascii="宋体" w:hAnsi="宋体"/>
          <w:snapToGrid w:val="0"/>
          <w:kern w:val="0"/>
          <w:u w:val="single"/>
        </w:rPr>
        <w:t>舍得酒业股份有限公司</w:t>
      </w:r>
      <w:r>
        <w:rPr>
          <w:rFonts w:hint="eastAsia" w:ascii="宋体" w:hAnsi="宋体"/>
          <w:snapToGrid w:val="0"/>
          <w:kern w:val="0"/>
          <w:position w:val="-2"/>
        </w:rPr>
        <w:t>。项目已具备招标条件，现对该项目进行公开招标。</w:t>
      </w:r>
    </w:p>
    <w:p w14:paraId="77327152">
      <w:pPr>
        <w:pStyle w:val="3"/>
        <w:tabs>
          <w:tab w:val="right" w:leader="dot" w:pos="9471"/>
        </w:tabs>
        <w:spacing w:line="360" w:lineRule="auto"/>
        <w:ind w:firstLine="482"/>
        <w:rPr>
          <w:rFonts w:hint="eastAsia" w:ascii="宋体" w:hAnsi="宋体" w:eastAsia="宋体"/>
          <w:b/>
          <w:bCs/>
          <w:kern w:val="2"/>
          <w:sz w:val="24"/>
          <w:szCs w:val="24"/>
        </w:rPr>
      </w:pPr>
      <w:r>
        <w:rPr>
          <w:rFonts w:hint="eastAsia" w:ascii="宋体" w:hAnsi="宋体" w:eastAsia="宋体"/>
          <w:b/>
          <w:bCs/>
          <w:kern w:val="2"/>
          <w:sz w:val="24"/>
          <w:szCs w:val="24"/>
        </w:rPr>
        <w:t>二.项目概况</w:t>
      </w:r>
      <w:bookmarkEnd w:id="2"/>
      <w:bookmarkEnd w:id="3"/>
      <w:r>
        <w:rPr>
          <w:rFonts w:hint="eastAsia" w:ascii="宋体" w:hAnsi="宋体" w:eastAsia="宋体"/>
          <w:b/>
          <w:bCs/>
          <w:kern w:val="2"/>
          <w:sz w:val="24"/>
          <w:szCs w:val="24"/>
        </w:rPr>
        <w:t>与招标范围</w:t>
      </w:r>
    </w:p>
    <w:p w14:paraId="3C69DB94">
      <w:pPr>
        <w:spacing w:line="360" w:lineRule="auto"/>
        <w:ind w:firstLine="480"/>
        <w:rPr>
          <w:rFonts w:hint="eastAsia" w:ascii="宋体" w:hAnsi="宋体"/>
          <w:kern w:val="0"/>
          <w:szCs w:val="20"/>
        </w:rPr>
      </w:pPr>
      <w:r>
        <w:rPr>
          <w:rFonts w:hint="eastAsia" w:ascii="宋体" w:hAnsi="宋体"/>
          <w:kern w:val="0"/>
          <w:szCs w:val="20"/>
        </w:rPr>
        <w:t>2.1项目名称：舍得酒业股份有限公司产研总部消防设施驻场维保服务项目</w:t>
      </w:r>
    </w:p>
    <w:p w14:paraId="23245A5A">
      <w:pPr>
        <w:pStyle w:val="4"/>
        <w:spacing w:line="360" w:lineRule="auto"/>
        <w:ind w:firstLine="480"/>
        <w:rPr>
          <w:rFonts w:hint="eastAsia" w:ascii="宋体" w:hAnsi="宋体"/>
        </w:rPr>
      </w:pPr>
      <w:r>
        <w:rPr>
          <w:rFonts w:hint="eastAsia" w:ascii="宋体" w:hAnsi="宋体"/>
        </w:rPr>
        <w:t>2.2项目地址：四川省射洪市沱牌镇</w:t>
      </w:r>
    </w:p>
    <w:p w14:paraId="7BB6B870">
      <w:pPr>
        <w:spacing w:line="560" w:lineRule="exact"/>
        <w:ind w:firstLine="480"/>
        <w:jc w:val="left"/>
        <w:rPr>
          <w:rFonts w:hint="eastAsia" w:ascii="宋体" w:hAnsi="宋体"/>
          <w:kern w:val="0"/>
          <w:szCs w:val="20"/>
        </w:rPr>
      </w:pPr>
      <w:r>
        <w:rPr>
          <w:rFonts w:hint="eastAsia" w:ascii="宋体" w:hAnsi="宋体"/>
          <w:kern w:val="0"/>
          <w:szCs w:val="20"/>
        </w:rPr>
        <w:t>2.3项目概况：本项目位于四川省射洪市沱牌镇舍得酒业股份有限公司内。详见下表：</w:t>
      </w:r>
    </w:p>
    <w:tbl>
      <w:tblPr>
        <w:tblStyle w:val="9"/>
        <w:tblW w:w="8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4"/>
        <w:gridCol w:w="1458"/>
        <w:gridCol w:w="1491"/>
        <w:gridCol w:w="5029"/>
      </w:tblGrid>
      <w:tr w14:paraId="7164C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664" w:type="dxa"/>
            <w:noWrap/>
            <w:vAlign w:val="center"/>
          </w:tcPr>
          <w:p w14:paraId="4A074BBC">
            <w:pPr>
              <w:widowControl/>
              <w:adjustRightInd w:val="0"/>
              <w:snapToGrid w:val="0"/>
              <w:spacing w:line="312" w:lineRule="auto"/>
              <w:ind w:firstLine="0" w:firstLineChars="0"/>
              <w:jc w:val="center"/>
              <w:rPr>
                <w:rFonts w:hint="eastAsia" w:ascii="宋体" w:hAnsi="宋体" w:cs="宋体"/>
                <w:color w:val="000000"/>
                <w:kern w:val="0"/>
                <w:sz w:val="18"/>
                <w:szCs w:val="18"/>
              </w:rPr>
            </w:pPr>
            <w:r>
              <w:rPr>
                <w:rFonts w:hint="eastAsia" w:ascii="宋体" w:hAnsi="宋体" w:cs="宋体"/>
                <w:color w:val="000000"/>
                <w:kern w:val="0"/>
                <w:sz w:val="18"/>
                <w:szCs w:val="18"/>
              </w:rPr>
              <w:t>序号</w:t>
            </w:r>
          </w:p>
        </w:tc>
        <w:tc>
          <w:tcPr>
            <w:tcW w:w="1458" w:type="dxa"/>
            <w:noWrap/>
            <w:vAlign w:val="center"/>
          </w:tcPr>
          <w:p w14:paraId="02231415">
            <w:pPr>
              <w:widowControl/>
              <w:adjustRightInd w:val="0"/>
              <w:snapToGrid w:val="0"/>
              <w:spacing w:line="312" w:lineRule="auto"/>
              <w:ind w:firstLine="0" w:firstLineChars="0"/>
              <w:jc w:val="center"/>
              <w:rPr>
                <w:rFonts w:hint="eastAsia" w:ascii="宋体" w:hAnsi="宋体" w:cs="宋体"/>
                <w:color w:val="000000"/>
                <w:kern w:val="0"/>
                <w:sz w:val="18"/>
                <w:szCs w:val="18"/>
              </w:rPr>
            </w:pPr>
            <w:r>
              <w:rPr>
                <w:rFonts w:hint="eastAsia" w:ascii="宋体" w:hAnsi="宋体" w:cs="宋体"/>
                <w:color w:val="000000"/>
                <w:kern w:val="0"/>
                <w:sz w:val="18"/>
                <w:szCs w:val="18"/>
              </w:rPr>
              <w:t>建筑物名称</w:t>
            </w:r>
          </w:p>
        </w:tc>
        <w:tc>
          <w:tcPr>
            <w:tcW w:w="1491" w:type="dxa"/>
            <w:noWrap/>
            <w:vAlign w:val="center"/>
          </w:tcPr>
          <w:p w14:paraId="23A46935">
            <w:pPr>
              <w:widowControl/>
              <w:adjustRightInd w:val="0"/>
              <w:snapToGrid w:val="0"/>
              <w:spacing w:line="312" w:lineRule="auto"/>
              <w:ind w:firstLine="0" w:firstLineChars="0"/>
              <w:jc w:val="center"/>
              <w:rPr>
                <w:rFonts w:hint="eastAsia" w:ascii="宋体" w:hAnsi="宋体" w:cs="宋体"/>
                <w:color w:val="000000"/>
                <w:kern w:val="0"/>
                <w:sz w:val="18"/>
                <w:szCs w:val="18"/>
              </w:rPr>
            </w:pPr>
            <w:r>
              <w:rPr>
                <w:rFonts w:hint="eastAsia" w:ascii="宋体" w:hAnsi="宋体" w:cs="宋体"/>
                <w:color w:val="000000"/>
                <w:kern w:val="0"/>
                <w:sz w:val="18"/>
                <w:szCs w:val="18"/>
              </w:rPr>
              <w:t>建筑面积（㎡）</w:t>
            </w:r>
          </w:p>
        </w:tc>
        <w:tc>
          <w:tcPr>
            <w:tcW w:w="5029" w:type="dxa"/>
            <w:noWrap/>
            <w:vAlign w:val="center"/>
          </w:tcPr>
          <w:p w14:paraId="6B57EB52">
            <w:pPr>
              <w:widowControl/>
              <w:adjustRightInd w:val="0"/>
              <w:snapToGrid w:val="0"/>
              <w:spacing w:line="312" w:lineRule="auto"/>
              <w:ind w:firstLine="0" w:firstLineChars="0"/>
              <w:jc w:val="center"/>
              <w:rPr>
                <w:rFonts w:hint="eastAsia" w:ascii="宋体" w:hAnsi="宋体" w:cs="宋体"/>
                <w:color w:val="000000"/>
                <w:kern w:val="0"/>
                <w:sz w:val="18"/>
                <w:szCs w:val="18"/>
              </w:rPr>
            </w:pPr>
            <w:r>
              <w:rPr>
                <w:rFonts w:hint="eastAsia" w:ascii="宋体" w:hAnsi="宋体" w:cs="宋体"/>
                <w:color w:val="000000"/>
                <w:kern w:val="0"/>
                <w:sz w:val="18"/>
                <w:szCs w:val="18"/>
              </w:rPr>
              <w:t>消防设施维保内容</w:t>
            </w:r>
          </w:p>
        </w:tc>
      </w:tr>
      <w:tr w14:paraId="1F060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664" w:type="dxa"/>
            <w:noWrap/>
            <w:vAlign w:val="center"/>
          </w:tcPr>
          <w:p w14:paraId="37A39731">
            <w:pPr>
              <w:widowControl/>
              <w:adjustRightInd w:val="0"/>
              <w:snapToGrid w:val="0"/>
              <w:spacing w:line="312" w:lineRule="auto"/>
              <w:ind w:firstLine="0" w:firstLineChars="0"/>
              <w:jc w:val="center"/>
              <w:rPr>
                <w:rFonts w:hint="eastAsia" w:ascii="宋体" w:hAnsi="宋体" w:cs="宋体"/>
                <w:color w:val="000000"/>
                <w:kern w:val="0"/>
                <w:sz w:val="18"/>
                <w:szCs w:val="18"/>
              </w:rPr>
            </w:pPr>
            <w:r>
              <w:rPr>
                <w:rFonts w:hint="eastAsia" w:ascii="宋体" w:hAnsi="宋体" w:cs="宋体"/>
                <w:color w:val="000000"/>
                <w:kern w:val="0"/>
                <w:sz w:val="18"/>
                <w:szCs w:val="18"/>
              </w:rPr>
              <w:t>1</w:t>
            </w:r>
          </w:p>
        </w:tc>
        <w:tc>
          <w:tcPr>
            <w:tcW w:w="1458" w:type="dxa"/>
            <w:noWrap/>
            <w:vAlign w:val="center"/>
          </w:tcPr>
          <w:p w14:paraId="14F296E5">
            <w:pPr>
              <w:widowControl/>
              <w:adjustRightInd w:val="0"/>
              <w:snapToGrid w:val="0"/>
              <w:spacing w:line="312" w:lineRule="auto"/>
              <w:ind w:firstLine="0" w:firstLineChars="0"/>
              <w:jc w:val="center"/>
              <w:rPr>
                <w:rFonts w:hint="eastAsia" w:ascii="宋体" w:hAnsi="宋体" w:cs="宋体"/>
                <w:color w:val="000000"/>
                <w:kern w:val="0"/>
                <w:sz w:val="18"/>
                <w:szCs w:val="18"/>
              </w:rPr>
            </w:pPr>
            <w:r>
              <w:rPr>
                <w:rFonts w:hint="eastAsia" w:ascii="宋体" w:hAnsi="宋体" w:cs="宋体"/>
                <w:color w:val="000000"/>
                <w:kern w:val="0"/>
                <w:sz w:val="18"/>
                <w:szCs w:val="18"/>
              </w:rPr>
              <w:t>95#酒库</w:t>
            </w:r>
          </w:p>
        </w:tc>
        <w:tc>
          <w:tcPr>
            <w:tcW w:w="1491" w:type="dxa"/>
            <w:noWrap/>
            <w:vAlign w:val="center"/>
          </w:tcPr>
          <w:p w14:paraId="7088540A">
            <w:pPr>
              <w:widowControl/>
              <w:adjustRightInd w:val="0"/>
              <w:snapToGrid w:val="0"/>
              <w:spacing w:line="312" w:lineRule="auto"/>
              <w:ind w:firstLine="0" w:firstLineChars="0"/>
              <w:jc w:val="center"/>
              <w:rPr>
                <w:rFonts w:hint="eastAsia" w:ascii="宋体" w:hAnsi="宋体" w:cs="宋体"/>
                <w:color w:val="000000"/>
                <w:kern w:val="0"/>
                <w:sz w:val="18"/>
                <w:szCs w:val="18"/>
              </w:rPr>
            </w:pPr>
            <w:r>
              <w:rPr>
                <w:rFonts w:hint="eastAsia" w:ascii="宋体" w:hAnsi="宋体" w:cs="宋体"/>
                <w:color w:val="000000"/>
                <w:kern w:val="0"/>
                <w:sz w:val="18"/>
                <w:szCs w:val="18"/>
              </w:rPr>
              <w:t>5035</w:t>
            </w:r>
          </w:p>
        </w:tc>
        <w:tc>
          <w:tcPr>
            <w:tcW w:w="5029" w:type="dxa"/>
            <w:noWrap/>
            <w:vAlign w:val="top"/>
          </w:tcPr>
          <w:p w14:paraId="59B20AD7">
            <w:pPr>
              <w:widowControl/>
              <w:adjustRightInd w:val="0"/>
              <w:snapToGrid w:val="0"/>
              <w:spacing w:line="312" w:lineRule="auto"/>
              <w:ind w:firstLine="0" w:firstLineChars="0"/>
              <w:jc w:val="left"/>
              <w:rPr>
                <w:rFonts w:hint="eastAsia" w:ascii="宋体" w:hAnsi="宋体" w:cs="宋体"/>
                <w:color w:val="000000"/>
                <w:kern w:val="0"/>
                <w:sz w:val="18"/>
                <w:szCs w:val="18"/>
              </w:rPr>
            </w:pPr>
            <w:r>
              <w:rPr>
                <w:rFonts w:hint="eastAsia" w:ascii="宋体" w:hAnsi="宋体" w:cs="宋体"/>
                <w:color w:val="000000"/>
                <w:kern w:val="0"/>
                <w:sz w:val="18"/>
                <w:szCs w:val="18"/>
              </w:rPr>
              <w:t>自动消防炮系统、可燃气体报警系统、自动火灾报警系统、消防广播系统、室外消火栓系统及其它消防设施。</w:t>
            </w:r>
          </w:p>
        </w:tc>
      </w:tr>
      <w:tr w14:paraId="3FD25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jc w:val="center"/>
        </w:trPr>
        <w:tc>
          <w:tcPr>
            <w:tcW w:w="664" w:type="dxa"/>
            <w:noWrap/>
            <w:vAlign w:val="center"/>
          </w:tcPr>
          <w:p w14:paraId="5F8125FB">
            <w:pPr>
              <w:widowControl/>
              <w:adjustRightInd w:val="0"/>
              <w:snapToGrid w:val="0"/>
              <w:spacing w:line="312" w:lineRule="auto"/>
              <w:ind w:firstLine="0" w:firstLineChars="0"/>
              <w:jc w:val="center"/>
              <w:rPr>
                <w:rFonts w:hint="eastAsia" w:ascii="宋体" w:hAnsi="宋体" w:cs="宋体"/>
                <w:color w:val="000000"/>
                <w:kern w:val="0"/>
                <w:sz w:val="18"/>
                <w:szCs w:val="18"/>
              </w:rPr>
            </w:pPr>
            <w:r>
              <w:rPr>
                <w:rFonts w:ascii="宋体" w:hAnsi="宋体" w:cs="宋体"/>
                <w:color w:val="000000"/>
                <w:kern w:val="0"/>
                <w:sz w:val="18"/>
                <w:szCs w:val="18"/>
              </w:rPr>
              <w:t>2</w:t>
            </w:r>
          </w:p>
        </w:tc>
        <w:tc>
          <w:tcPr>
            <w:tcW w:w="1458" w:type="dxa"/>
            <w:noWrap/>
            <w:vAlign w:val="center"/>
          </w:tcPr>
          <w:p w14:paraId="5FFBA37D">
            <w:pPr>
              <w:widowControl/>
              <w:adjustRightInd w:val="0"/>
              <w:snapToGrid w:val="0"/>
              <w:spacing w:line="312" w:lineRule="auto"/>
              <w:ind w:firstLine="0" w:firstLineChars="0"/>
              <w:jc w:val="center"/>
              <w:rPr>
                <w:rFonts w:hint="eastAsia" w:ascii="宋体" w:hAnsi="宋体" w:cs="宋体"/>
                <w:color w:val="000000"/>
                <w:kern w:val="0"/>
                <w:sz w:val="18"/>
                <w:szCs w:val="18"/>
              </w:rPr>
            </w:pPr>
            <w:r>
              <w:rPr>
                <w:rFonts w:hint="eastAsia" w:ascii="宋体" w:hAnsi="宋体" w:cs="宋体"/>
                <w:color w:val="000000"/>
                <w:kern w:val="0"/>
                <w:sz w:val="18"/>
                <w:szCs w:val="18"/>
              </w:rPr>
              <w:t>281#酒库</w:t>
            </w:r>
          </w:p>
        </w:tc>
        <w:tc>
          <w:tcPr>
            <w:tcW w:w="1491" w:type="dxa"/>
            <w:noWrap/>
            <w:vAlign w:val="center"/>
          </w:tcPr>
          <w:p w14:paraId="114D64DF">
            <w:pPr>
              <w:widowControl/>
              <w:adjustRightInd w:val="0"/>
              <w:snapToGrid w:val="0"/>
              <w:spacing w:line="312" w:lineRule="auto"/>
              <w:ind w:firstLine="0" w:firstLineChars="0"/>
              <w:jc w:val="center"/>
              <w:rPr>
                <w:rFonts w:hint="eastAsia" w:ascii="宋体" w:hAnsi="宋体" w:cs="宋体"/>
                <w:color w:val="000000"/>
                <w:kern w:val="0"/>
                <w:sz w:val="18"/>
                <w:szCs w:val="18"/>
              </w:rPr>
            </w:pPr>
            <w:r>
              <w:rPr>
                <w:rFonts w:hint="eastAsia" w:ascii="宋体" w:hAnsi="宋体" w:cs="宋体"/>
                <w:color w:val="000000"/>
                <w:kern w:val="0"/>
                <w:sz w:val="18"/>
                <w:szCs w:val="18"/>
              </w:rPr>
              <w:t>12795</w:t>
            </w:r>
          </w:p>
        </w:tc>
        <w:tc>
          <w:tcPr>
            <w:tcW w:w="5029" w:type="dxa"/>
            <w:noWrap/>
            <w:vAlign w:val="top"/>
          </w:tcPr>
          <w:p w14:paraId="437A5E4E">
            <w:pPr>
              <w:widowControl/>
              <w:adjustRightInd w:val="0"/>
              <w:snapToGrid w:val="0"/>
              <w:spacing w:line="312" w:lineRule="auto"/>
              <w:ind w:firstLine="0" w:firstLineChars="0"/>
              <w:jc w:val="left"/>
              <w:rPr>
                <w:rFonts w:hint="eastAsia" w:ascii="宋体" w:hAnsi="宋体" w:cs="宋体"/>
                <w:color w:val="000000"/>
                <w:kern w:val="0"/>
                <w:sz w:val="18"/>
                <w:szCs w:val="18"/>
              </w:rPr>
            </w:pPr>
            <w:r>
              <w:rPr>
                <w:rFonts w:hint="eastAsia" w:ascii="宋体" w:hAnsi="宋体" w:cs="宋体"/>
                <w:color w:val="000000"/>
                <w:kern w:val="0"/>
                <w:sz w:val="18"/>
                <w:szCs w:val="18"/>
              </w:rPr>
              <w:t>自动消防炮系统、可燃气体报警系统、自动火灾报警系统、消防广播系统、室外消火栓系统及其它消防设施。</w:t>
            </w:r>
          </w:p>
        </w:tc>
      </w:tr>
      <w:tr w14:paraId="564F1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664" w:type="dxa"/>
            <w:noWrap/>
            <w:vAlign w:val="center"/>
          </w:tcPr>
          <w:p w14:paraId="2237E38D">
            <w:pPr>
              <w:widowControl/>
              <w:adjustRightInd w:val="0"/>
              <w:snapToGrid w:val="0"/>
              <w:spacing w:line="312" w:lineRule="auto"/>
              <w:ind w:firstLine="0" w:firstLineChars="0"/>
              <w:jc w:val="center"/>
              <w:rPr>
                <w:rFonts w:hint="eastAsia" w:ascii="宋体" w:hAnsi="宋体" w:cs="宋体"/>
                <w:color w:val="000000"/>
                <w:kern w:val="0"/>
                <w:sz w:val="18"/>
                <w:szCs w:val="18"/>
              </w:rPr>
            </w:pPr>
            <w:r>
              <w:rPr>
                <w:rFonts w:ascii="宋体" w:hAnsi="宋体" w:cs="宋体"/>
                <w:color w:val="000000"/>
                <w:kern w:val="0"/>
                <w:sz w:val="18"/>
                <w:szCs w:val="18"/>
              </w:rPr>
              <w:t>3</w:t>
            </w:r>
          </w:p>
        </w:tc>
        <w:tc>
          <w:tcPr>
            <w:tcW w:w="1458" w:type="dxa"/>
            <w:noWrap/>
            <w:vAlign w:val="center"/>
          </w:tcPr>
          <w:p w14:paraId="6ACA1294">
            <w:pPr>
              <w:widowControl/>
              <w:adjustRightInd w:val="0"/>
              <w:snapToGrid w:val="0"/>
              <w:spacing w:line="312" w:lineRule="auto"/>
              <w:ind w:firstLine="0" w:firstLineChars="0"/>
              <w:jc w:val="center"/>
              <w:rPr>
                <w:rFonts w:hint="eastAsia" w:ascii="宋体" w:hAnsi="宋体" w:cs="宋体"/>
                <w:color w:val="000000"/>
                <w:kern w:val="0"/>
                <w:sz w:val="18"/>
                <w:szCs w:val="18"/>
              </w:rPr>
            </w:pPr>
            <w:r>
              <w:rPr>
                <w:rFonts w:hint="eastAsia" w:ascii="宋体" w:hAnsi="宋体" w:cs="宋体"/>
                <w:color w:val="000000"/>
                <w:kern w:val="0"/>
                <w:sz w:val="18"/>
                <w:szCs w:val="18"/>
              </w:rPr>
              <w:t>282#酒库</w:t>
            </w:r>
          </w:p>
        </w:tc>
        <w:tc>
          <w:tcPr>
            <w:tcW w:w="1491" w:type="dxa"/>
            <w:noWrap/>
            <w:vAlign w:val="center"/>
          </w:tcPr>
          <w:p w14:paraId="5515152D">
            <w:pPr>
              <w:widowControl/>
              <w:adjustRightInd w:val="0"/>
              <w:snapToGrid w:val="0"/>
              <w:spacing w:line="312" w:lineRule="auto"/>
              <w:ind w:firstLine="0" w:firstLineChars="0"/>
              <w:jc w:val="center"/>
              <w:rPr>
                <w:rFonts w:hint="eastAsia" w:ascii="宋体" w:hAnsi="宋体" w:cs="宋体"/>
                <w:color w:val="000000"/>
                <w:kern w:val="0"/>
                <w:sz w:val="18"/>
                <w:szCs w:val="18"/>
              </w:rPr>
            </w:pPr>
            <w:r>
              <w:rPr>
                <w:rFonts w:hint="eastAsia" w:ascii="宋体" w:hAnsi="宋体" w:cs="宋体"/>
                <w:color w:val="000000"/>
                <w:kern w:val="0"/>
                <w:sz w:val="18"/>
                <w:szCs w:val="18"/>
              </w:rPr>
              <w:t>12065</w:t>
            </w:r>
          </w:p>
        </w:tc>
        <w:tc>
          <w:tcPr>
            <w:tcW w:w="5029" w:type="dxa"/>
            <w:noWrap/>
            <w:vAlign w:val="top"/>
          </w:tcPr>
          <w:p w14:paraId="26FDB1DA">
            <w:pPr>
              <w:widowControl/>
              <w:adjustRightInd w:val="0"/>
              <w:snapToGrid w:val="0"/>
              <w:spacing w:line="312" w:lineRule="auto"/>
              <w:ind w:firstLine="0" w:firstLineChars="0"/>
              <w:jc w:val="left"/>
              <w:rPr>
                <w:rFonts w:hint="eastAsia" w:ascii="宋体" w:hAnsi="宋体" w:cs="宋体"/>
                <w:color w:val="000000"/>
                <w:kern w:val="0"/>
                <w:sz w:val="18"/>
                <w:szCs w:val="18"/>
              </w:rPr>
            </w:pPr>
            <w:r>
              <w:rPr>
                <w:rFonts w:hint="eastAsia" w:ascii="宋体" w:hAnsi="宋体" w:cs="宋体"/>
                <w:color w:val="000000"/>
                <w:kern w:val="0"/>
                <w:sz w:val="18"/>
                <w:szCs w:val="18"/>
              </w:rPr>
              <w:t>自动消防炮系统、可燃气体报警系统、自动火灾报警系统、消防广播系统、室外消火栓系统及其它消防设施。</w:t>
            </w:r>
          </w:p>
        </w:tc>
      </w:tr>
      <w:tr w14:paraId="40C07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664" w:type="dxa"/>
            <w:noWrap/>
            <w:vAlign w:val="center"/>
          </w:tcPr>
          <w:p w14:paraId="2CFEA5CD">
            <w:pPr>
              <w:widowControl/>
              <w:adjustRightInd w:val="0"/>
              <w:snapToGrid w:val="0"/>
              <w:spacing w:line="312" w:lineRule="auto"/>
              <w:ind w:firstLine="0" w:firstLineChars="0"/>
              <w:jc w:val="center"/>
              <w:rPr>
                <w:rFonts w:hint="eastAsia" w:ascii="宋体" w:hAnsi="宋体" w:cs="宋体"/>
                <w:color w:val="000000"/>
                <w:kern w:val="0"/>
                <w:sz w:val="18"/>
                <w:szCs w:val="18"/>
              </w:rPr>
            </w:pPr>
            <w:r>
              <w:rPr>
                <w:rFonts w:ascii="宋体" w:hAnsi="宋体" w:cs="宋体"/>
                <w:color w:val="000000"/>
                <w:kern w:val="0"/>
                <w:sz w:val="18"/>
                <w:szCs w:val="18"/>
              </w:rPr>
              <w:t>4</w:t>
            </w:r>
          </w:p>
        </w:tc>
        <w:tc>
          <w:tcPr>
            <w:tcW w:w="1458" w:type="dxa"/>
            <w:noWrap/>
            <w:vAlign w:val="center"/>
          </w:tcPr>
          <w:p w14:paraId="47473867">
            <w:pPr>
              <w:widowControl/>
              <w:adjustRightInd w:val="0"/>
              <w:snapToGrid w:val="0"/>
              <w:spacing w:line="312" w:lineRule="auto"/>
              <w:ind w:firstLine="0" w:firstLineChars="0"/>
              <w:jc w:val="center"/>
              <w:rPr>
                <w:rFonts w:hint="eastAsia" w:ascii="宋体" w:hAnsi="宋体" w:cs="宋体"/>
                <w:color w:val="000000"/>
                <w:kern w:val="0"/>
                <w:sz w:val="18"/>
                <w:szCs w:val="18"/>
              </w:rPr>
            </w:pPr>
            <w:r>
              <w:rPr>
                <w:rFonts w:hint="eastAsia" w:ascii="宋体" w:hAnsi="宋体" w:cs="宋体"/>
                <w:color w:val="000000"/>
                <w:kern w:val="0"/>
                <w:sz w:val="18"/>
                <w:szCs w:val="18"/>
              </w:rPr>
              <w:t>283#酒库</w:t>
            </w:r>
          </w:p>
        </w:tc>
        <w:tc>
          <w:tcPr>
            <w:tcW w:w="1491" w:type="dxa"/>
            <w:noWrap/>
            <w:vAlign w:val="center"/>
          </w:tcPr>
          <w:p w14:paraId="650BB2EA">
            <w:pPr>
              <w:widowControl/>
              <w:adjustRightInd w:val="0"/>
              <w:snapToGrid w:val="0"/>
              <w:spacing w:line="312" w:lineRule="auto"/>
              <w:ind w:firstLine="0" w:firstLineChars="0"/>
              <w:jc w:val="center"/>
              <w:rPr>
                <w:rFonts w:hint="eastAsia" w:ascii="宋体" w:hAnsi="宋体" w:cs="宋体"/>
                <w:color w:val="000000"/>
                <w:kern w:val="0"/>
                <w:sz w:val="18"/>
                <w:szCs w:val="18"/>
              </w:rPr>
            </w:pPr>
            <w:r>
              <w:rPr>
                <w:rFonts w:hint="eastAsia" w:ascii="宋体" w:hAnsi="宋体" w:cs="宋体"/>
                <w:color w:val="000000"/>
                <w:kern w:val="0"/>
                <w:sz w:val="18"/>
                <w:szCs w:val="18"/>
              </w:rPr>
              <w:t>7926</w:t>
            </w:r>
          </w:p>
        </w:tc>
        <w:tc>
          <w:tcPr>
            <w:tcW w:w="5029" w:type="dxa"/>
            <w:noWrap/>
            <w:vAlign w:val="top"/>
          </w:tcPr>
          <w:p w14:paraId="4986AAE9">
            <w:pPr>
              <w:widowControl/>
              <w:adjustRightInd w:val="0"/>
              <w:snapToGrid w:val="0"/>
              <w:spacing w:line="312" w:lineRule="auto"/>
              <w:ind w:firstLine="0" w:firstLineChars="0"/>
              <w:jc w:val="left"/>
              <w:rPr>
                <w:rFonts w:hint="eastAsia" w:ascii="宋体" w:hAnsi="宋体" w:cs="宋体"/>
                <w:color w:val="000000"/>
                <w:kern w:val="0"/>
                <w:sz w:val="18"/>
                <w:szCs w:val="18"/>
              </w:rPr>
            </w:pPr>
            <w:r>
              <w:rPr>
                <w:rFonts w:hint="eastAsia" w:ascii="宋体" w:hAnsi="宋体" w:cs="宋体"/>
                <w:color w:val="000000"/>
                <w:kern w:val="0"/>
                <w:sz w:val="18"/>
                <w:szCs w:val="18"/>
              </w:rPr>
              <w:t>自动消防炮系统、可燃气体报警系统、自动火灾报警系统、消防广播系统、室外消火栓系统及其它消防设施。</w:t>
            </w:r>
          </w:p>
        </w:tc>
      </w:tr>
      <w:tr w14:paraId="3A3D5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664" w:type="dxa"/>
            <w:noWrap/>
            <w:vAlign w:val="center"/>
          </w:tcPr>
          <w:p w14:paraId="7F85935C">
            <w:pPr>
              <w:widowControl/>
              <w:adjustRightInd w:val="0"/>
              <w:snapToGrid w:val="0"/>
              <w:spacing w:line="312" w:lineRule="auto"/>
              <w:ind w:firstLine="0" w:firstLineChars="0"/>
              <w:jc w:val="center"/>
              <w:rPr>
                <w:rFonts w:hint="eastAsia" w:ascii="宋体" w:hAnsi="宋体" w:cs="宋体"/>
                <w:color w:val="000000"/>
                <w:kern w:val="0"/>
                <w:sz w:val="18"/>
                <w:szCs w:val="18"/>
              </w:rPr>
            </w:pPr>
            <w:r>
              <w:rPr>
                <w:rFonts w:ascii="宋体" w:hAnsi="宋体" w:cs="宋体"/>
                <w:color w:val="000000"/>
                <w:kern w:val="0"/>
                <w:sz w:val="18"/>
                <w:szCs w:val="18"/>
              </w:rPr>
              <w:t>5</w:t>
            </w:r>
          </w:p>
        </w:tc>
        <w:tc>
          <w:tcPr>
            <w:tcW w:w="1458" w:type="dxa"/>
            <w:noWrap/>
            <w:vAlign w:val="center"/>
          </w:tcPr>
          <w:p w14:paraId="53380F47">
            <w:pPr>
              <w:widowControl/>
              <w:adjustRightInd w:val="0"/>
              <w:snapToGrid w:val="0"/>
              <w:spacing w:line="312" w:lineRule="auto"/>
              <w:ind w:firstLine="0" w:firstLineChars="0"/>
              <w:jc w:val="center"/>
              <w:rPr>
                <w:rFonts w:hint="eastAsia" w:ascii="宋体" w:hAnsi="宋体" w:cs="宋体"/>
                <w:color w:val="000000"/>
                <w:kern w:val="0"/>
                <w:sz w:val="18"/>
                <w:szCs w:val="18"/>
              </w:rPr>
            </w:pPr>
            <w:r>
              <w:rPr>
                <w:rFonts w:hint="eastAsia" w:ascii="宋体" w:hAnsi="宋体" w:cs="宋体"/>
                <w:color w:val="000000"/>
                <w:kern w:val="0"/>
                <w:sz w:val="18"/>
                <w:szCs w:val="18"/>
              </w:rPr>
              <w:t>284#酒库</w:t>
            </w:r>
          </w:p>
        </w:tc>
        <w:tc>
          <w:tcPr>
            <w:tcW w:w="1491" w:type="dxa"/>
            <w:noWrap/>
            <w:vAlign w:val="center"/>
          </w:tcPr>
          <w:p w14:paraId="45A37EAC">
            <w:pPr>
              <w:widowControl/>
              <w:adjustRightInd w:val="0"/>
              <w:snapToGrid w:val="0"/>
              <w:spacing w:line="312" w:lineRule="auto"/>
              <w:ind w:firstLine="0" w:firstLineChars="0"/>
              <w:jc w:val="center"/>
              <w:rPr>
                <w:rFonts w:hint="eastAsia" w:ascii="宋体" w:hAnsi="宋体" w:cs="宋体"/>
                <w:color w:val="000000"/>
                <w:kern w:val="0"/>
                <w:sz w:val="18"/>
                <w:szCs w:val="18"/>
              </w:rPr>
            </w:pPr>
            <w:r>
              <w:rPr>
                <w:rFonts w:hint="eastAsia" w:ascii="宋体" w:hAnsi="宋体" w:cs="宋体"/>
                <w:color w:val="000000"/>
                <w:kern w:val="0"/>
                <w:sz w:val="18"/>
                <w:szCs w:val="18"/>
              </w:rPr>
              <w:t>7926</w:t>
            </w:r>
          </w:p>
        </w:tc>
        <w:tc>
          <w:tcPr>
            <w:tcW w:w="5029" w:type="dxa"/>
            <w:noWrap w:val="0"/>
            <w:vAlign w:val="top"/>
          </w:tcPr>
          <w:p w14:paraId="2AF21D1E">
            <w:pPr>
              <w:widowControl/>
              <w:adjustRightInd w:val="0"/>
              <w:snapToGrid w:val="0"/>
              <w:spacing w:line="312" w:lineRule="auto"/>
              <w:ind w:firstLine="0" w:firstLineChars="0"/>
              <w:jc w:val="left"/>
              <w:rPr>
                <w:rFonts w:hint="eastAsia" w:ascii="宋体" w:hAnsi="宋体" w:cs="宋体"/>
                <w:color w:val="000000"/>
                <w:kern w:val="0"/>
                <w:sz w:val="18"/>
                <w:szCs w:val="18"/>
              </w:rPr>
            </w:pPr>
            <w:r>
              <w:rPr>
                <w:rFonts w:hint="eastAsia" w:ascii="宋体" w:hAnsi="宋体" w:cs="宋体"/>
                <w:color w:val="000000"/>
                <w:kern w:val="0"/>
                <w:sz w:val="18"/>
                <w:szCs w:val="18"/>
              </w:rPr>
              <w:t>自动消防炮系统、可燃气体报警系统、自动火灾报警系统、消防广播系统、室外消火栓系统及其它消防设施。</w:t>
            </w:r>
          </w:p>
        </w:tc>
      </w:tr>
      <w:tr w14:paraId="2458B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664" w:type="dxa"/>
            <w:noWrap/>
            <w:vAlign w:val="center"/>
          </w:tcPr>
          <w:p w14:paraId="1930B67F">
            <w:pPr>
              <w:widowControl/>
              <w:adjustRightInd w:val="0"/>
              <w:snapToGrid w:val="0"/>
              <w:spacing w:line="312" w:lineRule="auto"/>
              <w:ind w:firstLine="0" w:firstLineChars="0"/>
              <w:jc w:val="center"/>
              <w:rPr>
                <w:rFonts w:hint="eastAsia" w:ascii="宋体" w:hAnsi="宋体" w:cs="宋体"/>
                <w:color w:val="000000"/>
                <w:kern w:val="0"/>
                <w:sz w:val="18"/>
                <w:szCs w:val="18"/>
              </w:rPr>
            </w:pPr>
            <w:r>
              <w:rPr>
                <w:rFonts w:ascii="宋体" w:hAnsi="宋体" w:cs="宋体"/>
                <w:color w:val="000000"/>
                <w:kern w:val="0"/>
                <w:sz w:val="18"/>
                <w:szCs w:val="18"/>
              </w:rPr>
              <w:t>6</w:t>
            </w:r>
          </w:p>
        </w:tc>
        <w:tc>
          <w:tcPr>
            <w:tcW w:w="1458" w:type="dxa"/>
            <w:noWrap/>
            <w:vAlign w:val="center"/>
          </w:tcPr>
          <w:p w14:paraId="669F6746">
            <w:pPr>
              <w:widowControl/>
              <w:adjustRightInd w:val="0"/>
              <w:snapToGrid w:val="0"/>
              <w:spacing w:line="312" w:lineRule="auto"/>
              <w:ind w:firstLine="0" w:firstLineChars="0"/>
              <w:jc w:val="center"/>
              <w:rPr>
                <w:rFonts w:hint="eastAsia" w:ascii="宋体" w:hAnsi="宋体" w:cs="宋体"/>
                <w:color w:val="000000"/>
                <w:kern w:val="0"/>
                <w:sz w:val="18"/>
                <w:szCs w:val="18"/>
              </w:rPr>
            </w:pPr>
            <w:r>
              <w:rPr>
                <w:rFonts w:hint="eastAsia" w:ascii="宋体" w:hAnsi="宋体" w:cs="宋体"/>
                <w:color w:val="000000"/>
                <w:kern w:val="0"/>
                <w:sz w:val="18"/>
                <w:szCs w:val="18"/>
              </w:rPr>
              <w:t>285#酒库</w:t>
            </w:r>
          </w:p>
        </w:tc>
        <w:tc>
          <w:tcPr>
            <w:tcW w:w="1491" w:type="dxa"/>
            <w:noWrap/>
            <w:vAlign w:val="center"/>
          </w:tcPr>
          <w:p w14:paraId="42B24B9A">
            <w:pPr>
              <w:widowControl/>
              <w:adjustRightInd w:val="0"/>
              <w:snapToGrid w:val="0"/>
              <w:spacing w:line="312" w:lineRule="auto"/>
              <w:ind w:firstLine="0" w:firstLineChars="0"/>
              <w:jc w:val="center"/>
              <w:rPr>
                <w:rFonts w:hint="eastAsia" w:ascii="宋体" w:hAnsi="宋体" w:cs="宋体"/>
                <w:color w:val="000000"/>
                <w:kern w:val="0"/>
                <w:sz w:val="18"/>
                <w:szCs w:val="18"/>
              </w:rPr>
            </w:pPr>
            <w:r>
              <w:rPr>
                <w:rFonts w:hint="eastAsia" w:ascii="宋体" w:hAnsi="宋体" w:cs="宋体"/>
                <w:color w:val="000000"/>
                <w:kern w:val="0"/>
                <w:sz w:val="18"/>
                <w:szCs w:val="18"/>
              </w:rPr>
              <w:t>5625</w:t>
            </w:r>
          </w:p>
        </w:tc>
        <w:tc>
          <w:tcPr>
            <w:tcW w:w="5029" w:type="dxa"/>
            <w:noWrap w:val="0"/>
            <w:vAlign w:val="top"/>
          </w:tcPr>
          <w:p w14:paraId="25751927">
            <w:pPr>
              <w:widowControl/>
              <w:adjustRightInd w:val="0"/>
              <w:snapToGrid w:val="0"/>
              <w:spacing w:line="312" w:lineRule="auto"/>
              <w:ind w:firstLine="0" w:firstLineChars="0"/>
              <w:jc w:val="left"/>
              <w:rPr>
                <w:rFonts w:hint="eastAsia" w:ascii="宋体" w:hAnsi="宋体" w:cs="宋体"/>
                <w:color w:val="000000"/>
                <w:kern w:val="0"/>
                <w:sz w:val="18"/>
                <w:szCs w:val="18"/>
              </w:rPr>
            </w:pPr>
            <w:r>
              <w:rPr>
                <w:rFonts w:hint="eastAsia" w:ascii="宋体" w:hAnsi="宋体" w:cs="宋体"/>
                <w:color w:val="000000"/>
                <w:kern w:val="0"/>
                <w:sz w:val="18"/>
                <w:szCs w:val="18"/>
              </w:rPr>
              <w:t>自动消防炮系统、可燃气体报警系统、自动火灾报警系统、消防广播系统、室外消火栓系统及其它消防设施。</w:t>
            </w:r>
          </w:p>
        </w:tc>
      </w:tr>
      <w:tr w14:paraId="35BA0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664" w:type="dxa"/>
            <w:noWrap/>
            <w:vAlign w:val="center"/>
          </w:tcPr>
          <w:p w14:paraId="5503A402">
            <w:pPr>
              <w:widowControl/>
              <w:adjustRightInd w:val="0"/>
              <w:snapToGrid w:val="0"/>
              <w:spacing w:line="312" w:lineRule="auto"/>
              <w:ind w:firstLine="0" w:firstLineChars="0"/>
              <w:jc w:val="center"/>
              <w:rPr>
                <w:rFonts w:hint="eastAsia" w:ascii="宋体" w:hAnsi="宋体" w:cs="宋体"/>
                <w:color w:val="000000"/>
                <w:kern w:val="0"/>
                <w:sz w:val="18"/>
                <w:szCs w:val="18"/>
              </w:rPr>
            </w:pPr>
            <w:r>
              <w:rPr>
                <w:rFonts w:ascii="宋体" w:hAnsi="宋体" w:cs="宋体"/>
                <w:color w:val="000000"/>
                <w:kern w:val="0"/>
                <w:sz w:val="18"/>
                <w:szCs w:val="18"/>
              </w:rPr>
              <w:t>7</w:t>
            </w:r>
          </w:p>
        </w:tc>
        <w:tc>
          <w:tcPr>
            <w:tcW w:w="1458" w:type="dxa"/>
            <w:noWrap/>
            <w:vAlign w:val="center"/>
          </w:tcPr>
          <w:p w14:paraId="28A1C264">
            <w:pPr>
              <w:widowControl/>
              <w:adjustRightInd w:val="0"/>
              <w:snapToGrid w:val="0"/>
              <w:spacing w:line="312" w:lineRule="auto"/>
              <w:ind w:firstLine="0" w:firstLineChars="0"/>
              <w:jc w:val="center"/>
              <w:rPr>
                <w:rFonts w:hint="eastAsia" w:ascii="宋体" w:hAnsi="宋体" w:cs="宋体"/>
                <w:color w:val="000000"/>
                <w:kern w:val="0"/>
                <w:sz w:val="18"/>
                <w:szCs w:val="18"/>
              </w:rPr>
            </w:pPr>
            <w:r>
              <w:rPr>
                <w:rFonts w:hint="eastAsia" w:ascii="宋体" w:hAnsi="宋体" w:cs="宋体"/>
                <w:color w:val="000000"/>
                <w:kern w:val="0"/>
                <w:sz w:val="18"/>
                <w:szCs w:val="18"/>
              </w:rPr>
              <w:t>28</w:t>
            </w:r>
            <w:r>
              <w:rPr>
                <w:rFonts w:ascii="宋体" w:hAnsi="宋体" w:cs="宋体"/>
                <w:color w:val="000000"/>
                <w:kern w:val="0"/>
                <w:sz w:val="18"/>
                <w:szCs w:val="18"/>
              </w:rPr>
              <w:t>6</w:t>
            </w:r>
            <w:r>
              <w:rPr>
                <w:rFonts w:hint="eastAsia" w:ascii="宋体" w:hAnsi="宋体" w:cs="宋体"/>
                <w:color w:val="000000"/>
                <w:kern w:val="0"/>
                <w:sz w:val="18"/>
                <w:szCs w:val="18"/>
              </w:rPr>
              <w:t>#酒库</w:t>
            </w:r>
          </w:p>
        </w:tc>
        <w:tc>
          <w:tcPr>
            <w:tcW w:w="1491" w:type="dxa"/>
            <w:noWrap/>
            <w:vAlign w:val="center"/>
          </w:tcPr>
          <w:p w14:paraId="6BD86136">
            <w:pPr>
              <w:widowControl/>
              <w:adjustRightInd w:val="0"/>
              <w:snapToGrid w:val="0"/>
              <w:spacing w:line="312" w:lineRule="auto"/>
              <w:ind w:firstLine="0" w:firstLineChars="0"/>
              <w:jc w:val="center"/>
              <w:rPr>
                <w:rFonts w:hint="eastAsia" w:ascii="宋体" w:hAnsi="宋体" w:cs="宋体"/>
                <w:color w:val="000000"/>
                <w:kern w:val="0"/>
                <w:sz w:val="18"/>
                <w:szCs w:val="18"/>
              </w:rPr>
            </w:pPr>
            <w:r>
              <w:rPr>
                <w:rFonts w:hint="eastAsia" w:ascii="宋体" w:hAnsi="宋体" w:cs="宋体"/>
                <w:color w:val="000000"/>
                <w:kern w:val="0"/>
                <w:sz w:val="18"/>
                <w:szCs w:val="18"/>
              </w:rPr>
              <w:t>1741</w:t>
            </w:r>
          </w:p>
        </w:tc>
        <w:tc>
          <w:tcPr>
            <w:tcW w:w="5029" w:type="dxa"/>
            <w:noWrap w:val="0"/>
            <w:vAlign w:val="top"/>
          </w:tcPr>
          <w:p w14:paraId="07B3E122">
            <w:pPr>
              <w:widowControl/>
              <w:adjustRightInd w:val="0"/>
              <w:snapToGrid w:val="0"/>
              <w:spacing w:line="312" w:lineRule="auto"/>
              <w:ind w:firstLine="0" w:firstLineChars="0"/>
              <w:jc w:val="left"/>
              <w:rPr>
                <w:rFonts w:hint="eastAsia" w:ascii="宋体" w:hAnsi="宋体" w:cs="宋体"/>
                <w:color w:val="000000"/>
                <w:kern w:val="0"/>
                <w:sz w:val="18"/>
                <w:szCs w:val="18"/>
              </w:rPr>
            </w:pPr>
            <w:r>
              <w:rPr>
                <w:rFonts w:hint="eastAsia" w:ascii="宋体" w:hAnsi="宋体" w:cs="宋体"/>
                <w:color w:val="000000"/>
                <w:kern w:val="0"/>
                <w:sz w:val="18"/>
                <w:szCs w:val="18"/>
              </w:rPr>
              <w:t>自动消防炮系统、可燃气体报警系统、自动火灾报警系统、电气火灾监控系统、电源监控系统、室外消火栓系统及其它消防设施。</w:t>
            </w:r>
          </w:p>
        </w:tc>
      </w:tr>
      <w:tr w14:paraId="7CC1F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664" w:type="dxa"/>
            <w:noWrap/>
            <w:vAlign w:val="center"/>
          </w:tcPr>
          <w:p w14:paraId="42D1F876">
            <w:pPr>
              <w:widowControl/>
              <w:adjustRightInd w:val="0"/>
              <w:snapToGrid w:val="0"/>
              <w:spacing w:line="312" w:lineRule="auto"/>
              <w:ind w:firstLine="0" w:firstLineChars="0"/>
              <w:jc w:val="center"/>
              <w:rPr>
                <w:rFonts w:hint="eastAsia" w:ascii="宋体" w:hAnsi="宋体" w:cs="宋体"/>
                <w:color w:val="000000"/>
                <w:kern w:val="0"/>
                <w:sz w:val="18"/>
                <w:szCs w:val="18"/>
              </w:rPr>
            </w:pPr>
            <w:r>
              <w:rPr>
                <w:rFonts w:hint="eastAsia" w:ascii="宋体" w:hAnsi="宋体" w:cs="宋体"/>
                <w:color w:val="000000"/>
                <w:kern w:val="0"/>
                <w:sz w:val="18"/>
                <w:szCs w:val="18"/>
              </w:rPr>
              <w:t>8</w:t>
            </w:r>
          </w:p>
        </w:tc>
        <w:tc>
          <w:tcPr>
            <w:tcW w:w="1458" w:type="dxa"/>
            <w:noWrap/>
            <w:vAlign w:val="center"/>
          </w:tcPr>
          <w:p w14:paraId="23151CC1">
            <w:pPr>
              <w:widowControl/>
              <w:adjustRightInd w:val="0"/>
              <w:snapToGrid w:val="0"/>
              <w:spacing w:line="312" w:lineRule="auto"/>
              <w:ind w:firstLine="0" w:firstLineChars="0"/>
              <w:jc w:val="center"/>
              <w:rPr>
                <w:rFonts w:hint="eastAsia" w:ascii="宋体" w:hAnsi="宋体" w:cs="宋体"/>
                <w:color w:val="000000"/>
                <w:kern w:val="0"/>
                <w:sz w:val="18"/>
                <w:szCs w:val="18"/>
              </w:rPr>
            </w:pPr>
            <w:r>
              <w:rPr>
                <w:rFonts w:hint="eastAsia" w:ascii="宋体" w:hAnsi="宋体" w:cs="宋体"/>
                <w:color w:val="000000"/>
                <w:kern w:val="0"/>
                <w:sz w:val="18"/>
                <w:szCs w:val="18"/>
              </w:rPr>
              <w:t>287#酒库</w:t>
            </w:r>
          </w:p>
        </w:tc>
        <w:tc>
          <w:tcPr>
            <w:tcW w:w="1491" w:type="dxa"/>
            <w:noWrap/>
            <w:vAlign w:val="center"/>
          </w:tcPr>
          <w:p w14:paraId="46AF72F8">
            <w:pPr>
              <w:widowControl/>
              <w:adjustRightInd w:val="0"/>
              <w:snapToGrid w:val="0"/>
              <w:spacing w:line="312" w:lineRule="auto"/>
              <w:ind w:firstLine="0" w:firstLineChars="0"/>
              <w:jc w:val="center"/>
              <w:rPr>
                <w:rFonts w:hint="eastAsia" w:ascii="宋体" w:hAnsi="宋体" w:cs="宋体"/>
                <w:color w:val="000000"/>
                <w:kern w:val="0"/>
                <w:sz w:val="18"/>
                <w:szCs w:val="18"/>
              </w:rPr>
            </w:pPr>
            <w:r>
              <w:rPr>
                <w:rFonts w:hint="eastAsia" w:ascii="宋体" w:hAnsi="宋体" w:cs="宋体"/>
                <w:color w:val="000000"/>
                <w:kern w:val="0"/>
                <w:sz w:val="18"/>
                <w:szCs w:val="18"/>
              </w:rPr>
              <w:t>19349</w:t>
            </w:r>
          </w:p>
        </w:tc>
        <w:tc>
          <w:tcPr>
            <w:tcW w:w="5029" w:type="dxa"/>
            <w:noWrap w:val="0"/>
            <w:vAlign w:val="center"/>
          </w:tcPr>
          <w:p w14:paraId="1C018D9C">
            <w:pPr>
              <w:widowControl/>
              <w:adjustRightInd w:val="0"/>
              <w:snapToGrid w:val="0"/>
              <w:spacing w:line="312" w:lineRule="auto"/>
              <w:ind w:firstLine="0" w:firstLineChars="0"/>
              <w:jc w:val="left"/>
              <w:rPr>
                <w:rFonts w:hint="eastAsia" w:ascii="宋体" w:hAnsi="宋体" w:cs="宋体"/>
                <w:color w:val="000000"/>
                <w:kern w:val="0"/>
                <w:sz w:val="18"/>
                <w:szCs w:val="18"/>
              </w:rPr>
            </w:pPr>
            <w:r>
              <w:rPr>
                <w:rFonts w:hint="eastAsia" w:ascii="宋体" w:hAnsi="宋体" w:cs="宋体"/>
                <w:color w:val="000000"/>
                <w:kern w:val="0"/>
                <w:sz w:val="18"/>
                <w:szCs w:val="18"/>
              </w:rPr>
              <w:t>可燃气体报警系统、自动火灾报警系统、电气火灾监控系统、消防电源监控系统、消防广播系统、应急照明及疏散指示系统、泡沫灭火系统、室外消火栓系统、消防泵系统及其它消防设施。</w:t>
            </w:r>
          </w:p>
        </w:tc>
      </w:tr>
      <w:tr w14:paraId="3D688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664" w:type="dxa"/>
            <w:noWrap/>
            <w:vAlign w:val="center"/>
          </w:tcPr>
          <w:p w14:paraId="6D4BD1AB">
            <w:pPr>
              <w:widowControl/>
              <w:adjustRightInd w:val="0"/>
              <w:snapToGrid w:val="0"/>
              <w:spacing w:line="312" w:lineRule="auto"/>
              <w:ind w:firstLine="0" w:firstLineChars="0"/>
              <w:jc w:val="center"/>
              <w:rPr>
                <w:rFonts w:hint="eastAsia" w:ascii="宋体" w:hAnsi="宋体" w:cs="宋体"/>
                <w:color w:val="000000"/>
                <w:kern w:val="0"/>
                <w:sz w:val="18"/>
                <w:szCs w:val="18"/>
              </w:rPr>
            </w:pPr>
            <w:r>
              <w:rPr>
                <w:rFonts w:hint="eastAsia" w:ascii="宋体" w:hAnsi="宋体" w:cs="宋体"/>
                <w:color w:val="000000"/>
                <w:kern w:val="0"/>
                <w:sz w:val="18"/>
                <w:szCs w:val="18"/>
              </w:rPr>
              <w:t>9</w:t>
            </w:r>
          </w:p>
        </w:tc>
        <w:tc>
          <w:tcPr>
            <w:tcW w:w="1458" w:type="dxa"/>
            <w:noWrap/>
            <w:vAlign w:val="center"/>
          </w:tcPr>
          <w:p w14:paraId="53F5261F">
            <w:pPr>
              <w:widowControl/>
              <w:adjustRightInd w:val="0"/>
              <w:snapToGrid w:val="0"/>
              <w:spacing w:line="312" w:lineRule="auto"/>
              <w:ind w:firstLine="0" w:firstLineChars="0"/>
              <w:jc w:val="center"/>
              <w:rPr>
                <w:rFonts w:hint="eastAsia" w:ascii="宋体" w:hAnsi="宋体" w:cs="宋体"/>
                <w:color w:val="000000"/>
                <w:kern w:val="0"/>
                <w:sz w:val="18"/>
                <w:szCs w:val="18"/>
              </w:rPr>
            </w:pPr>
            <w:r>
              <w:rPr>
                <w:rFonts w:hint="eastAsia" w:ascii="宋体" w:hAnsi="宋体" w:cs="宋体"/>
                <w:color w:val="000000"/>
                <w:kern w:val="0"/>
                <w:sz w:val="18"/>
                <w:szCs w:val="18"/>
              </w:rPr>
              <w:t>288#酒库</w:t>
            </w:r>
          </w:p>
        </w:tc>
        <w:tc>
          <w:tcPr>
            <w:tcW w:w="1491" w:type="dxa"/>
            <w:noWrap/>
            <w:vAlign w:val="center"/>
          </w:tcPr>
          <w:p w14:paraId="0A25DC5E">
            <w:pPr>
              <w:widowControl/>
              <w:adjustRightInd w:val="0"/>
              <w:snapToGrid w:val="0"/>
              <w:spacing w:line="312" w:lineRule="auto"/>
              <w:ind w:firstLine="0" w:firstLineChars="0"/>
              <w:jc w:val="center"/>
              <w:rPr>
                <w:rFonts w:hint="eastAsia" w:ascii="宋体" w:hAnsi="宋体" w:cs="宋体"/>
                <w:color w:val="000000"/>
                <w:kern w:val="0"/>
                <w:sz w:val="18"/>
                <w:szCs w:val="18"/>
              </w:rPr>
            </w:pPr>
            <w:r>
              <w:rPr>
                <w:rFonts w:hint="eastAsia" w:ascii="宋体" w:hAnsi="宋体" w:cs="宋体"/>
                <w:color w:val="000000"/>
                <w:kern w:val="0"/>
                <w:sz w:val="18"/>
                <w:szCs w:val="18"/>
              </w:rPr>
              <w:t>1741</w:t>
            </w:r>
          </w:p>
        </w:tc>
        <w:tc>
          <w:tcPr>
            <w:tcW w:w="5029" w:type="dxa"/>
            <w:noWrap w:val="0"/>
            <w:vAlign w:val="top"/>
          </w:tcPr>
          <w:p w14:paraId="762FEBF9">
            <w:pPr>
              <w:widowControl/>
              <w:adjustRightInd w:val="0"/>
              <w:snapToGrid w:val="0"/>
              <w:spacing w:line="312" w:lineRule="auto"/>
              <w:ind w:firstLine="0" w:firstLineChars="0"/>
              <w:jc w:val="left"/>
              <w:rPr>
                <w:rFonts w:hint="eastAsia" w:ascii="宋体" w:hAnsi="宋体" w:cs="宋体"/>
                <w:color w:val="000000"/>
                <w:kern w:val="0"/>
                <w:sz w:val="18"/>
                <w:szCs w:val="18"/>
              </w:rPr>
            </w:pPr>
            <w:r>
              <w:rPr>
                <w:rFonts w:hint="eastAsia" w:ascii="宋体" w:hAnsi="宋体" w:cs="宋体"/>
                <w:color w:val="000000"/>
                <w:kern w:val="0"/>
                <w:sz w:val="18"/>
                <w:szCs w:val="18"/>
              </w:rPr>
              <w:t>与286#酒库共用“火灾报警、可燃气体、电气火灾”主机，包含自动消防炮系统、可燃气体报警系统、电气火灾监控系统、自动火灾报警系统、室外消火栓系统及其它消防设施。</w:t>
            </w:r>
          </w:p>
        </w:tc>
      </w:tr>
      <w:tr w14:paraId="16B79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664" w:type="dxa"/>
            <w:noWrap/>
            <w:vAlign w:val="center"/>
          </w:tcPr>
          <w:p w14:paraId="5A66BB56">
            <w:pPr>
              <w:widowControl/>
              <w:adjustRightInd w:val="0"/>
              <w:snapToGrid w:val="0"/>
              <w:spacing w:line="312" w:lineRule="auto"/>
              <w:ind w:firstLine="0" w:firstLineChars="0"/>
              <w:jc w:val="center"/>
              <w:rPr>
                <w:rFonts w:hint="eastAsia" w:ascii="宋体" w:hAnsi="宋体" w:cs="宋体"/>
                <w:color w:val="000000"/>
                <w:kern w:val="0"/>
                <w:sz w:val="18"/>
                <w:szCs w:val="18"/>
              </w:rPr>
            </w:pPr>
            <w:r>
              <w:rPr>
                <w:rFonts w:hint="eastAsia" w:ascii="宋体" w:hAnsi="宋体" w:cs="宋体"/>
                <w:color w:val="000000"/>
                <w:kern w:val="0"/>
                <w:sz w:val="18"/>
                <w:szCs w:val="18"/>
              </w:rPr>
              <w:t>10</w:t>
            </w:r>
          </w:p>
        </w:tc>
        <w:tc>
          <w:tcPr>
            <w:tcW w:w="1458" w:type="dxa"/>
            <w:noWrap/>
            <w:vAlign w:val="center"/>
          </w:tcPr>
          <w:p w14:paraId="2B14A348">
            <w:pPr>
              <w:widowControl/>
              <w:adjustRightInd w:val="0"/>
              <w:snapToGrid w:val="0"/>
              <w:spacing w:line="312" w:lineRule="auto"/>
              <w:ind w:firstLine="0" w:firstLineChars="0"/>
              <w:jc w:val="center"/>
              <w:rPr>
                <w:rFonts w:hint="eastAsia" w:ascii="宋体" w:hAnsi="宋体" w:cs="宋体"/>
                <w:color w:val="000000"/>
                <w:kern w:val="0"/>
                <w:sz w:val="18"/>
                <w:szCs w:val="18"/>
              </w:rPr>
            </w:pPr>
            <w:r>
              <w:rPr>
                <w:rFonts w:hint="eastAsia" w:ascii="宋体" w:hAnsi="宋体" w:cs="宋体"/>
                <w:color w:val="000000"/>
                <w:kern w:val="0"/>
                <w:sz w:val="18"/>
                <w:szCs w:val="18"/>
              </w:rPr>
              <w:t>33栋陶坛酒库（两层）</w:t>
            </w:r>
          </w:p>
        </w:tc>
        <w:tc>
          <w:tcPr>
            <w:tcW w:w="1491" w:type="dxa"/>
            <w:noWrap/>
            <w:vAlign w:val="center"/>
          </w:tcPr>
          <w:p w14:paraId="3026C42B">
            <w:pPr>
              <w:widowControl/>
              <w:adjustRightInd w:val="0"/>
              <w:snapToGrid w:val="0"/>
              <w:spacing w:line="312" w:lineRule="auto"/>
              <w:ind w:firstLine="0" w:firstLineChars="0"/>
              <w:jc w:val="center"/>
              <w:rPr>
                <w:rFonts w:hint="eastAsia" w:ascii="宋体" w:hAnsi="宋体" w:cs="宋体"/>
                <w:color w:val="000000"/>
                <w:kern w:val="0"/>
                <w:sz w:val="18"/>
                <w:szCs w:val="18"/>
              </w:rPr>
            </w:pPr>
            <w:r>
              <w:rPr>
                <w:rFonts w:hint="eastAsia" w:ascii="宋体" w:hAnsi="宋体" w:cs="宋体"/>
                <w:color w:val="000000"/>
                <w:kern w:val="0"/>
                <w:sz w:val="18"/>
                <w:szCs w:val="18"/>
              </w:rPr>
              <w:t>8000</w:t>
            </w:r>
          </w:p>
        </w:tc>
        <w:tc>
          <w:tcPr>
            <w:tcW w:w="5029" w:type="dxa"/>
            <w:noWrap w:val="0"/>
            <w:vAlign w:val="center"/>
          </w:tcPr>
          <w:p w14:paraId="78B51F0C">
            <w:pPr>
              <w:widowControl/>
              <w:adjustRightInd w:val="0"/>
              <w:snapToGrid w:val="0"/>
              <w:spacing w:line="312" w:lineRule="auto"/>
              <w:ind w:firstLine="0" w:firstLineChars="0"/>
              <w:jc w:val="left"/>
              <w:rPr>
                <w:rFonts w:hint="eastAsia" w:ascii="宋体" w:hAnsi="宋体" w:cs="宋体"/>
                <w:color w:val="000000"/>
                <w:kern w:val="0"/>
                <w:sz w:val="18"/>
                <w:szCs w:val="18"/>
              </w:rPr>
            </w:pPr>
            <w:r>
              <w:rPr>
                <w:rFonts w:hint="eastAsia" w:ascii="宋体" w:hAnsi="宋体" w:cs="宋体"/>
                <w:color w:val="000000"/>
                <w:kern w:val="0"/>
                <w:sz w:val="18"/>
                <w:szCs w:val="18"/>
              </w:rPr>
              <w:t>可燃气体探测器及事故风机、其它消防设施。</w:t>
            </w:r>
          </w:p>
        </w:tc>
      </w:tr>
      <w:tr w14:paraId="5F8E4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664" w:type="dxa"/>
            <w:noWrap/>
            <w:vAlign w:val="center"/>
          </w:tcPr>
          <w:p w14:paraId="26BB1A22">
            <w:pPr>
              <w:widowControl/>
              <w:adjustRightInd w:val="0"/>
              <w:snapToGrid w:val="0"/>
              <w:spacing w:line="312" w:lineRule="auto"/>
              <w:ind w:firstLine="0" w:firstLineChars="0"/>
              <w:jc w:val="center"/>
              <w:rPr>
                <w:rFonts w:hint="eastAsia" w:ascii="宋体" w:hAnsi="宋体" w:cs="宋体"/>
                <w:color w:val="000000"/>
                <w:kern w:val="0"/>
                <w:sz w:val="18"/>
                <w:szCs w:val="18"/>
              </w:rPr>
            </w:pPr>
            <w:r>
              <w:rPr>
                <w:rFonts w:hint="eastAsia" w:ascii="宋体" w:hAnsi="宋体" w:cs="宋体"/>
                <w:color w:val="000000"/>
                <w:kern w:val="0"/>
                <w:sz w:val="18"/>
                <w:szCs w:val="18"/>
              </w:rPr>
              <w:t>11</w:t>
            </w:r>
          </w:p>
        </w:tc>
        <w:tc>
          <w:tcPr>
            <w:tcW w:w="1458" w:type="dxa"/>
            <w:noWrap/>
            <w:vAlign w:val="center"/>
          </w:tcPr>
          <w:p w14:paraId="35489DD1">
            <w:pPr>
              <w:widowControl/>
              <w:adjustRightInd w:val="0"/>
              <w:snapToGrid w:val="0"/>
              <w:spacing w:line="312" w:lineRule="auto"/>
              <w:ind w:firstLine="0" w:firstLineChars="0"/>
              <w:jc w:val="center"/>
              <w:rPr>
                <w:rFonts w:hint="eastAsia" w:ascii="宋体" w:hAnsi="宋体" w:cs="宋体"/>
                <w:color w:val="000000"/>
                <w:kern w:val="0"/>
                <w:sz w:val="18"/>
                <w:szCs w:val="18"/>
              </w:rPr>
            </w:pPr>
            <w:r>
              <w:rPr>
                <w:rFonts w:hint="eastAsia" w:ascii="宋体" w:hAnsi="宋体" w:cs="宋体"/>
                <w:color w:val="000000"/>
                <w:kern w:val="0"/>
                <w:sz w:val="18"/>
                <w:szCs w:val="18"/>
              </w:rPr>
              <w:t>立体仓库</w:t>
            </w:r>
          </w:p>
        </w:tc>
        <w:tc>
          <w:tcPr>
            <w:tcW w:w="1491" w:type="dxa"/>
            <w:noWrap/>
            <w:vAlign w:val="center"/>
          </w:tcPr>
          <w:p w14:paraId="4C1E5F95">
            <w:pPr>
              <w:widowControl/>
              <w:adjustRightInd w:val="0"/>
              <w:snapToGrid w:val="0"/>
              <w:spacing w:line="312" w:lineRule="auto"/>
              <w:ind w:firstLine="0" w:firstLineChars="0"/>
              <w:jc w:val="center"/>
              <w:rPr>
                <w:rFonts w:hint="eastAsia" w:ascii="宋体" w:hAnsi="宋体" w:cs="宋体"/>
                <w:color w:val="000000"/>
                <w:kern w:val="0"/>
                <w:sz w:val="18"/>
                <w:szCs w:val="18"/>
              </w:rPr>
            </w:pPr>
            <w:r>
              <w:rPr>
                <w:rFonts w:hint="eastAsia" w:ascii="宋体" w:hAnsi="宋体" w:cs="宋体"/>
                <w:color w:val="000000"/>
                <w:kern w:val="0"/>
                <w:sz w:val="18"/>
                <w:szCs w:val="18"/>
              </w:rPr>
              <w:t>23405</w:t>
            </w:r>
          </w:p>
        </w:tc>
        <w:tc>
          <w:tcPr>
            <w:tcW w:w="5029" w:type="dxa"/>
            <w:noWrap w:val="0"/>
            <w:vAlign w:val="center"/>
          </w:tcPr>
          <w:p w14:paraId="4AD5E36D">
            <w:pPr>
              <w:widowControl/>
              <w:adjustRightInd w:val="0"/>
              <w:snapToGrid w:val="0"/>
              <w:spacing w:line="312" w:lineRule="auto"/>
              <w:ind w:firstLine="0" w:firstLineChars="0"/>
              <w:jc w:val="left"/>
              <w:rPr>
                <w:rFonts w:hint="eastAsia" w:ascii="宋体" w:hAnsi="宋体" w:cs="宋体"/>
                <w:color w:val="000000"/>
                <w:kern w:val="0"/>
                <w:sz w:val="18"/>
                <w:szCs w:val="18"/>
              </w:rPr>
            </w:pPr>
            <w:r>
              <w:rPr>
                <w:rFonts w:hint="eastAsia" w:ascii="宋体" w:hAnsi="宋体" w:cs="宋体"/>
                <w:color w:val="000000"/>
                <w:kern w:val="0"/>
                <w:sz w:val="18"/>
                <w:szCs w:val="18"/>
              </w:rPr>
              <w:t>自动消防炮系统、自动火灾报警系统、电气火灾监控系统、消防电源监控系统、应急照明及疏散指示系统、消防广播系统、排烟系统、自动喷淋系统、水幕系统、室内外消火栓系统、消防泵系统及其它消防设施。</w:t>
            </w:r>
          </w:p>
        </w:tc>
      </w:tr>
      <w:tr w14:paraId="5595F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jc w:val="center"/>
        </w:trPr>
        <w:tc>
          <w:tcPr>
            <w:tcW w:w="664" w:type="dxa"/>
            <w:noWrap/>
            <w:vAlign w:val="center"/>
          </w:tcPr>
          <w:p w14:paraId="575AF541">
            <w:pPr>
              <w:widowControl/>
              <w:adjustRightInd w:val="0"/>
              <w:snapToGrid w:val="0"/>
              <w:spacing w:line="312" w:lineRule="auto"/>
              <w:ind w:firstLine="0" w:firstLineChars="0"/>
              <w:jc w:val="center"/>
              <w:rPr>
                <w:rFonts w:hint="eastAsia" w:ascii="宋体" w:hAnsi="宋体" w:cs="宋体"/>
                <w:color w:val="000000"/>
                <w:kern w:val="0"/>
                <w:sz w:val="18"/>
                <w:szCs w:val="18"/>
              </w:rPr>
            </w:pPr>
            <w:r>
              <w:rPr>
                <w:rFonts w:hint="eastAsia" w:ascii="宋体" w:hAnsi="宋体" w:cs="宋体"/>
                <w:color w:val="000000"/>
                <w:kern w:val="0"/>
                <w:sz w:val="18"/>
                <w:szCs w:val="18"/>
              </w:rPr>
              <w:t>12</w:t>
            </w:r>
          </w:p>
        </w:tc>
        <w:tc>
          <w:tcPr>
            <w:tcW w:w="1458" w:type="dxa"/>
            <w:noWrap/>
            <w:vAlign w:val="center"/>
          </w:tcPr>
          <w:p w14:paraId="27D5A02D">
            <w:pPr>
              <w:widowControl/>
              <w:adjustRightInd w:val="0"/>
              <w:snapToGrid w:val="0"/>
              <w:spacing w:line="312" w:lineRule="auto"/>
              <w:ind w:firstLine="0" w:firstLineChars="0"/>
              <w:jc w:val="center"/>
              <w:rPr>
                <w:rFonts w:hint="eastAsia" w:ascii="宋体" w:hAnsi="宋体" w:cs="宋体"/>
                <w:color w:val="000000"/>
                <w:kern w:val="0"/>
                <w:sz w:val="18"/>
                <w:szCs w:val="18"/>
              </w:rPr>
            </w:pPr>
            <w:r>
              <w:rPr>
                <w:rFonts w:hint="eastAsia" w:ascii="宋体" w:hAnsi="宋体" w:cs="宋体"/>
                <w:color w:val="000000"/>
                <w:kern w:val="0"/>
                <w:sz w:val="18"/>
                <w:szCs w:val="18"/>
              </w:rPr>
              <w:t>包装52~</w:t>
            </w:r>
            <w:r>
              <w:rPr>
                <w:rFonts w:ascii="宋体" w:hAnsi="宋体" w:cs="宋体"/>
                <w:color w:val="000000"/>
                <w:kern w:val="0"/>
                <w:sz w:val="18"/>
                <w:szCs w:val="18"/>
              </w:rPr>
              <w:t>53</w:t>
            </w:r>
            <w:r>
              <w:rPr>
                <w:rFonts w:hint="eastAsia" w:ascii="宋体" w:hAnsi="宋体" w:cs="宋体"/>
                <w:color w:val="000000"/>
                <w:kern w:val="0"/>
                <w:sz w:val="18"/>
                <w:szCs w:val="18"/>
              </w:rPr>
              <w:t>栋</w:t>
            </w:r>
          </w:p>
        </w:tc>
        <w:tc>
          <w:tcPr>
            <w:tcW w:w="1491" w:type="dxa"/>
            <w:noWrap/>
            <w:vAlign w:val="center"/>
          </w:tcPr>
          <w:p w14:paraId="53B874A7">
            <w:pPr>
              <w:widowControl/>
              <w:adjustRightInd w:val="0"/>
              <w:snapToGrid w:val="0"/>
              <w:spacing w:line="312" w:lineRule="auto"/>
              <w:ind w:firstLine="0" w:firstLineChars="0"/>
              <w:jc w:val="center"/>
              <w:rPr>
                <w:rFonts w:hint="eastAsia" w:ascii="宋体" w:hAnsi="宋体" w:cs="宋体"/>
                <w:color w:val="000000"/>
                <w:kern w:val="0"/>
                <w:sz w:val="18"/>
                <w:szCs w:val="18"/>
              </w:rPr>
            </w:pPr>
            <w:r>
              <w:rPr>
                <w:rFonts w:ascii="宋体" w:hAnsi="宋体" w:cs="宋体"/>
                <w:color w:val="000000"/>
                <w:kern w:val="0"/>
                <w:sz w:val="18"/>
                <w:szCs w:val="18"/>
              </w:rPr>
              <w:t>21488</w:t>
            </w:r>
          </w:p>
        </w:tc>
        <w:tc>
          <w:tcPr>
            <w:tcW w:w="5029" w:type="dxa"/>
            <w:noWrap w:val="0"/>
            <w:vAlign w:val="center"/>
          </w:tcPr>
          <w:p w14:paraId="2FF0BCA3">
            <w:pPr>
              <w:widowControl/>
              <w:adjustRightInd w:val="0"/>
              <w:snapToGrid w:val="0"/>
              <w:spacing w:line="312" w:lineRule="auto"/>
              <w:ind w:firstLine="0" w:firstLineChars="0"/>
              <w:jc w:val="left"/>
              <w:rPr>
                <w:rFonts w:hint="eastAsia" w:ascii="宋体" w:hAnsi="宋体" w:cs="宋体"/>
                <w:color w:val="000000"/>
                <w:kern w:val="0"/>
                <w:sz w:val="18"/>
                <w:szCs w:val="18"/>
              </w:rPr>
            </w:pPr>
            <w:r>
              <w:rPr>
                <w:rFonts w:hint="eastAsia" w:ascii="宋体" w:hAnsi="宋体" w:cs="宋体"/>
                <w:color w:val="000000"/>
                <w:kern w:val="0"/>
                <w:sz w:val="18"/>
                <w:szCs w:val="18"/>
              </w:rPr>
              <w:t>火灾自动报警系统、应急照明与疏散指示系统、消防广播系统、可燃气体报警系统、雨淋系统、室内消火栓系统及其它消防设施。</w:t>
            </w:r>
          </w:p>
        </w:tc>
      </w:tr>
      <w:tr w14:paraId="613AE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664" w:type="dxa"/>
            <w:noWrap/>
            <w:vAlign w:val="center"/>
          </w:tcPr>
          <w:p w14:paraId="0E9FB843">
            <w:pPr>
              <w:widowControl/>
              <w:adjustRightInd w:val="0"/>
              <w:snapToGrid w:val="0"/>
              <w:spacing w:line="312" w:lineRule="auto"/>
              <w:ind w:firstLine="0" w:firstLineChars="0"/>
              <w:jc w:val="center"/>
              <w:rPr>
                <w:rFonts w:hint="eastAsia" w:ascii="宋体" w:hAnsi="宋体" w:cs="宋体"/>
                <w:color w:val="000000"/>
                <w:kern w:val="0"/>
                <w:sz w:val="18"/>
                <w:szCs w:val="18"/>
              </w:rPr>
            </w:pPr>
            <w:r>
              <w:rPr>
                <w:rFonts w:hint="eastAsia" w:ascii="宋体" w:hAnsi="宋体" w:cs="宋体"/>
                <w:color w:val="000000"/>
                <w:kern w:val="0"/>
                <w:sz w:val="18"/>
                <w:szCs w:val="18"/>
              </w:rPr>
              <w:t>13</w:t>
            </w:r>
          </w:p>
        </w:tc>
        <w:tc>
          <w:tcPr>
            <w:tcW w:w="1458" w:type="dxa"/>
            <w:noWrap w:val="0"/>
            <w:vAlign w:val="center"/>
          </w:tcPr>
          <w:p w14:paraId="04F05246">
            <w:pPr>
              <w:widowControl/>
              <w:adjustRightInd w:val="0"/>
              <w:snapToGrid w:val="0"/>
              <w:spacing w:line="312" w:lineRule="auto"/>
              <w:ind w:firstLine="0" w:firstLineChars="0"/>
              <w:jc w:val="center"/>
              <w:rPr>
                <w:rFonts w:hint="eastAsia" w:ascii="宋体" w:hAnsi="宋体" w:cs="宋体"/>
                <w:color w:val="000000"/>
                <w:kern w:val="0"/>
                <w:sz w:val="18"/>
                <w:szCs w:val="18"/>
              </w:rPr>
            </w:pPr>
            <w:r>
              <w:rPr>
                <w:rFonts w:hint="eastAsia" w:ascii="宋体" w:hAnsi="宋体" w:cs="宋体"/>
                <w:color w:val="000000"/>
                <w:kern w:val="0"/>
                <w:sz w:val="18"/>
                <w:szCs w:val="18"/>
              </w:rPr>
              <w:t>智慧包装中心</w:t>
            </w:r>
          </w:p>
        </w:tc>
        <w:tc>
          <w:tcPr>
            <w:tcW w:w="1491" w:type="dxa"/>
            <w:noWrap/>
            <w:vAlign w:val="center"/>
          </w:tcPr>
          <w:p w14:paraId="267B363C">
            <w:pPr>
              <w:widowControl/>
              <w:adjustRightInd w:val="0"/>
              <w:snapToGrid w:val="0"/>
              <w:spacing w:line="312" w:lineRule="auto"/>
              <w:ind w:firstLine="0" w:firstLineChars="0"/>
              <w:jc w:val="center"/>
              <w:rPr>
                <w:rFonts w:hint="eastAsia" w:ascii="宋体" w:hAnsi="宋体" w:cs="宋体"/>
                <w:color w:val="000000"/>
                <w:kern w:val="0"/>
                <w:sz w:val="18"/>
                <w:szCs w:val="18"/>
              </w:rPr>
            </w:pPr>
            <w:r>
              <w:rPr>
                <w:rFonts w:hint="eastAsia" w:ascii="宋体" w:hAnsi="宋体" w:cs="宋体"/>
                <w:color w:val="000000"/>
                <w:kern w:val="0"/>
                <w:sz w:val="18"/>
                <w:szCs w:val="18"/>
              </w:rPr>
              <w:t>109579</w:t>
            </w:r>
          </w:p>
        </w:tc>
        <w:tc>
          <w:tcPr>
            <w:tcW w:w="5029" w:type="dxa"/>
            <w:noWrap w:val="0"/>
            <w:vAlign w:val="center"/>
          </w:tcPr>
          <w:p w14:paraId="550CE3CA">
            <w:pPr>
              <w:widowControl/>
              <w:adjustRightInd w:val="0"/>
              <w:snapToGrid w:val="0"/>
              <w:spacing w:line="312" w:lineRule="auto"/>
              <w:ind w:firstLine="0" w:firstLineChars="0"/>
              <w:jc w:val="left"/>
              <w:rPr>
                <w:rFonts w:hint="eastAsia" w:ascii="宋体" w:hAnsi="宋体" w:cs="宋体"/>
                <w:color w:val="000000"/>
                <w:kern w:val="0"/>
                <w:sz w:val="18"/>
                <w:szCs w:val="18"/>
              </w:rPr>
            </w:pPr>
            <w:r>
              <w:rPr>
                <w:rFonts w:hint="eastAsia" w:ascii="宋体" w:hAnsi="宋体" w:cs="宋体"/>
                <w:color w:val="000000"/>
                <w:kern w:val="0"/>
                <w:sz w:val="18"/>
                <w:szCs w:val="18"/>
              </w:rPr>
              <w:t>自动跟踪定位射流系统、自动火灾报警系统、泡沫灭火系统、自动喷淋系统、泵房消防给水系统、电气火灾监控系统、可燃气体探测系统、消防电源监控系统、气体灭火系统、应急照明及疏散指示系统、消防广播系统、防排烟系统、防火门监控系统、防火分隔水幕系统、冷却水雾系统、室内外消火栓系统、消防泵系统及其它消防设施。</w:t>
            </w:r>
          </w:p>
        </w:tc>
      </w:tr>
      <w:tr w14:paraId="6FFC6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664" w:type="dxa"/>
            <w:noWrap/>
            <w:vAlign w:val="center"/>
          </w:tcPr>
          <w:p w14:paraId="211496AD">
            <w:pPr>
              <w:widowControl/>
              <w:adjustRightInd w:val="0"/>
              <w:snapToGrid w:val="0"/>
              <w:spacing w:line="312" w:lineRule="auto"/>
              <w:ind w:firstLine="0" w:firstLineChars="0"/>
              <w:jc w:val="center"/>
              <w:rPr>
                <w:rFonts w:hint="eastAsia" w:ascii="宋体" w:hAnsi="宋体" w:cs="宋体"/>
                <w:color w:val="000000"/>
                <w:kern w:val="0"/>
                <w:sz w:val="18"/>
                <w:szCs w:val="18"/>
              </w:rPr>
            </w:pPr>
            <w:r>
              <w:rPr>
                <w:rFonts w:hint="eastAsia" w:ascii="宋体" w:hAnsi="宋体" w:cs="宋体"/>
                <w:color w:val="000000"/>
                <w:kern w:val="0"/>
                <w:sz w:val="18"/>
                <w:szCs w:val="18"/>
              </w:rPr>
              <w:t>14</w:t>
            </w:r>
          </w:p>
        </w:tc>
        <w:tc>
          <w:tcPr>
            <w:tcW w:w="1458" w:type="dxa"/>
            <w:noWrap w:val="0"/>
            <w:vAlign w:val="center"/>
          </w:tcPr>
          <w:p w14:paraId="5E1FA8D4">
            <w:pPr>
              <w:widowControl/>
              <w:adjustRightInd w:val="0"/>
              <w:snapToGrid w:val="0"/>
              <w:spacing w:line="312" w:lineRule="auto"/>
              <w:ind w:firstLine="0" w:firstLineChars="0"/>
              <w:jc w:val="center"/>
              <w:rPr>
                <w:rFonts w:hint="eastAsia" w:ascii="宋体" w:hAnsi="宋体" w:cs="宋体"/>
                <w:color w:val="000000"/>
                <w:kern w:val="0"/>
                <w:sz w:val="18"/>
                <w:szCs w:val="18"/>
              </w:rPr>
            </w:pPr>
            <w:r>
              <w:rPr>
                <w:rFonts w:hint="eastAsia" w:ascii="宋体" w:hAnsi="宋体" w:cs="宋体"/>
                <w:color w:val="000000"/>
                <w:kern w:val="0"/>
                <w:sz w:val="18"/>
                <w:szCs w:val="18"/>
              </w:rPr>
              <w:t>22栋~24栋</w:t>
            </w:r>
          </w:p>
        </w:tc>
        <w:tc>
          <w:tcPr>
            <w:tcW w:w="1491" w:type="dxa"/>
            <w:noWrap/>
            <w:vAlign w:val="center"/>
          </w:tcPr>
          <w:p w14:paraId="5CD6FA85">
            <w:pPr>
              <w:widowControl/>
              <w:adjustRightInd w:val="0"/>
              <w:snapToGrid w:val="0"/>
              <w:spacing w:line="312" w:lineRule="auto"/>
              <w:ind w:firstLine="0" w:firstLineChars="0"/>
              <w:jc w:val="center"/>
              <w:rPr>
                <w:rFonts w:hint="eastAsia" w:ascii="宋体" w:hAnsi="宋体" w:cs="宋体"/>
                <w:color w:val="000000"/>
                <w:kern w:val="0"/>
                <w:sz w:val="18"/>
                <w:szCs w:val="18"/>
              </w:rPr>
            </w:pPr>
            <w:r>
              <w:rPr>
                <w:rFonts w:hint="eastAsia" w:ascii="宋体" w:hAnsi="宋体" w:cs="宋体"/>
                <w:color w:val="000000"/>
                <w:kern w:val="0"/>
                <w:sz w:val="18"/>
                <w:szCs w:val="18"/>
              </w:rPr>
              <w:t>17000</w:t>
            </w:r>
          </w:p>
        </w:tc>
        <w:tc>
          <w:tcPr>
            <w:tcW w:w="5029" w:type="dxa"/>
            <w:noWrap w:val="0"/>
            <w:vAlign w:val="center"/>
          </w:tcPr>
          <w:p w14:paraId="5ABDED0C">
            <w:pPr>
              <w:widowControl/>
              <w:adjustRightInd w:val="0"/>
              <w:snapToGrid w:val="0"/>
              <w:spacing w:line="312" w:lineRule="auto"/>
              <w:ind w:firstLine="0" w:firstLineChars="0"/>
              <w:jc w:val="left"/>
              <w:rPr>
                <w:rFonts w:hint="eastAsia" w:ascii="宋体" w:hAnsi="宋体" w:cs="宋体"/>
                <w:color w:val="000000"/>
                <w:kern w:val="0"/>
                <w:sz w:val="18"/>
                <w:szCs w:val="18"/>
              </w:rPr>
            </w:pPr>
            <w:r>
              <w:rPr>
                <w:rFonts w:hint="eastAsia" w:ascii="宋体" w:hAnsi="宋体" w:cs="宋体"/>
                <w:color w:val="000000"/>
                <w:kern w:val="0"/>
                <w:sz w:val="18"/>
                <w:szCs w:val="18"/>
              </w:rPr>
              <w:t>22栋：可燃气体探测系统、火灾报警系统、应急照明及疏散指示系统、室内消火栓系统及其它消防设备。</w:t>
            </w:r>
          </w:p>
          <w:p w14:paraId="7B140EC9">
            <w:pPr>
              <w:widowControl/>
              <w:adjustRightInd w:val="0"/>
              <w:snapToGrid w:val="0"/>
              <w:spacing w:line="312" w:lineRule="auto"/>
              <w:ind w:firstLine="0" w:firstLineChars="0"/>
              <w:jc w:val="left"/>
              <w:rPr>
                <w:rFonts w:hint="eastAsia" w:ascii="宋体" w:hAnsi="宋体" w:cs="宋体"/>
                <w:color w:val="000000"/>
                <w:kern w:val="0"/>
                <w:sz w:val="18"/>
                <w:szCs w:val="18"/>
              </w:rPr>
            </w:pPr>
            <w:r>
              <w:rPr>
                <w:rFonts w:hint="eastAsia" w:ascii="宋体" w:hAnsi="宋体" w:cs="宋体"/>
                <w:color w:val="000000"/>
                <w:kern w:val="0"/>
                <w:sz w:val="18"/>
                <w:szCs w:val="18"/>
              </w:rPr>
              <w:t>23栋含可燃气体探测系统及事故风机、应急照明控制器及室内消火栓系统及其它消防设施</w:t>
            </w:r>
          </w:p>
          <w:p w14:paraId="1C92145A">
            <w:pPr>
              <w:widowControl/>
              <w:adjustRightInd w:val="0"/>
              <w:snapToGrid w:val="0"/>
              <w:spacing w:line="312" w:lineRule="auto"/>
              <w:ind w:firstLine="0" w:firstLineChars="0"/>
              <w:jc w:val="left"/>
              <w:rPr>
                <w:rFonts w:hint="eastAsia" w:ascii="宋体" w:hAnsi="宋体" w:cs="宋体"/>
                <w:color w:val="000000"/>
                <w:kern w:val="0"/>
                <w:sz w:val="18"/>
                <w:szCs w:val="18"/>
              </w:rPr>
            </w:pPr>
            <w:r>
              <w:rPr>
                <w:rFonts w:hint="eastAsia" w:ascii="宋体" w:hAnsi="宋体" w:cs="宋体"/>
                <w:color w:val="000000"/>
                <w:kern w:val="0"/>
                <w:sz w:val="18"/>
                <w:szCs w:val="18"/>
              </w:rPr>
              <w:t>24栋消防报警与281报警主机共用，可燃气体探测系统、火灾报警系统、应急照明及疏散指示系统、室内消火栓系统及其它消防设备</w:t>
            </w:r>
          </w:p>
        </w:tc>
      </w:tr>
      <w:tr w14:paraId="42693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664" w:type="dxa"/>
            <w:noWrap/>
            <w:vAlign w:val="center"/>
          </w:tcPr>
          <w:p w14:paraId="6A268D91">
            <w:pPr>
              <w:widowControl/>
              <w:adjustRightInd w:val="0"/>
              <w:snapToGrid w:val="0"/>
              <w:spacing w:line="312" w:lineRule="auto"/>
              <w:ind w:firstLine="0" w:firstLineChars="0"/>
              <w:jc w:val="center"/>
              <w:rPr>
                <w:rFonts w:hint="eastAsia" w:ascii="宋体" w:hAnsi="宋体" w:cs="宋体"/>
                <w:color w:val="000000"/>
                <w:kern w:val="0"/>
                <w:sz w:val="18"/>
                <w:szCs w:val="18"/>
              </w:rPr>
            </w:pPr>
            <w:r>
              <w:rPr>
                <w:rFonts w:hint="eastAsia" w:ascii="宋体" w:hAnsi="宋体" w:cs="宋体"/>
                <w:color w:val="000000"/>
                <w:kern w:val="0"/>
                <w:sz w:val="18"/>
                <w:szCs w:val="18"/>
              </w:rPr>
              <w:t>15</w:t>
            </w:r>
          </w:p>
        </w:tc>
        <w:tc>
          <w:tcPr>
            <w:tcW w:w="1458" w:type="dxa"/>
            <w:noWrap w:val="0"/>
            <w:vAlign w:val="center"/>
          </w:tcPr>
          <w:p w14:paraId="5EEDC638">
            <w:pPr>
              <w:widowControl/>
              <w:adjustRightInd w:val="0"/>
              <w:snapToGrid w:val="0"/>
              <w:spacing w:line="312" w:lineRule="auto"/>
              <w:ind w:firstLine="0" w:firstLineChars="0"/>
              <w:jc w:val="center"/>
              <w:rPr>
                <w:rFonts w:hint="eastAsia" w:ascii="宋体" w:hAnsi="宋体" w:cs="宋体"/>
                <w:color w:val="000000"/>
                <w:kern w:val="0"/>
                <w:sz w:val="18"/>
                <w:szCs w:val="18"/>
              </w:rPr>
            </w:pPr>
            <w:r>
              <w:rPr>
                <w:rFonts w:hint="eastAsia" w:ascii="宋体" w:hAnsi="宋体" w:cs="宋体"/>
                <w:color w:val="000000"/>
                <w:kern w:val="0"/>
                <w:sz w:val="18"/>
                <w:szCs w:val="18"/>
              </w:rPr>
              <w:t>制曲中心</w:t>
            </w:r>
          </w:p>
        </w:tc>
        <w:tc>
          <w:tcPr>
            <w:tcW w:w="1491" w:type="dxa"/>
            <w:noWrap/>
            <w:vAlign w:val="center"/>
          </w:tcPr>
          <w:p w14:paraId="318B759B">
            <w:pPr>
              <w:widowControl/>
              <w:adjustRightInd w:val="0"/>
              <w:snapToGrid w:val="0"/>
              <w:spacing w:line="312" w:lineRule="auto"/>
              <w:ind w:firstLine="0" w:firstLineChars="0"/>
              <w:jc w:val="center"/>
              <w:rPr>
                <w:rFonts w:hint="eastAsia" w:ascii="宋体" w:hAnsi="宋体" w:cs="宋体"/>
                <w:color w:val="000000"/>
                <w:kern w:val="0"/>
                <w:sz w:val="18"/>
                <w:szCs w:val="18"/>
              </w:rPr>
            </w:pPr>
            <w:r>
              <w:rPr>
                <w:rFonts w:hint="eastAsia" w:ascii="宋体" w:hAnsi="宋体" w:cs="宋体"/>
                <w:color w:val="000000"/>
                <w:kern w:val="0"/>
                <w:sz w:val="18"/>
                <w:szCs w:val="18"/>
              </w:rPr>
              <w:t>79785</w:t>
            </w:r>
          </w:p>
        </w:tc>
        <w:tc>
          <w:tcPr>
            <w:tcW w:w="5029" w:type="dxa"/>
            <w:noWrap w:val="0"/>
            <w:vAlign w:val="center"/>
          </w:tcPr>
          <w:p w14:paraId="40D61A39">
            <w:pPr>
              <w:widowControl/>
              <w:adjustRightInd w:val="0"/>
              <w:snapToGrid w:val="0"/>
              <w:spacing w:line="312" w:lineRule="auto"/>
              <w:ind w:firstLine="0" w:firstLineChars="0"/>
              <w:jc w:val="left"/>
              <w:rPr>
                <w:rFonts w:hint="eastAsia" w:ascii="宋体" w:hAnsi="宋体" w:cs="宋体"/>
                <w:color w:val="000000"/>
                <w:kern w:val="0"/>
                <w:sz w:val="18"/>
                <w:szCs w:val="18"/>
              </w:rPr>
            </w:pPr>
            <w:r>
              <w:rPr>
                <w:rFonts w:hint="eastAsia" w:ascii="宋体" w:hAnsi="宋体" w:cs="宋体"/>
                <w:color w:val="000000"/>
                <w:kern w:val="0"/>
                <w:sz w:val="18"/>
                <w:szCs w:val="18"/>
              </w:rPr>
              <w:t>火灾自动报警系统、自动喷淋系统、电气火灾监控系统、电源监控、防火门及卷帘、应急照明与疏散指示系统、消防广播系统、防排烟系统、室内外消火栓系统、消防泵系统及其它消防设施。</w:t>
            </w:r>
          </w:p>
        </w:tc>
      </w:tr>
      <w:tr w14:paraId="6614E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664" w:type="dxa"/>
            <w:noWrap/>
            <w:vAlign w:val="center"/>
          </w:tcPr>
          <w:p w14:paraId="45EC2B8C">
            <w:pPr>
              <w:widowControl/>
              <w:adjustRightInd w:val="0"/>
              <w:snapToGrid w:val="0"/>
              <w:spacing w:line="312" w:lineRule="auto"/>
              <w:ind w:firstLine="0" w:firstLineChars="0"/>
              <w:jc w:val="center"/>
              <w:rPr>
                <w:rFonts w:hint="eastAsia" w:ascii="宋体" w:hAnsi="宋体" w:cs="宋体"/>
                <w:color w:val="000000"/>
                <w:kern w:val="0"/>
                <w:sz w:val="18"/>
                <w:szCs w:val="18"/>
              </w:rPr>
            </w:pPr>
            <w:r>
              <w:rPr>
                <w:rFonts w:hint="eastAsia" w:ascii="宋体" w:hAnsi="宋体" w:cs="宋体"/>
                <w:color w:val="000000"/>
                <w:kern w:val="0"/>
                <w:sz w:val="18"/>
                <w:szCs w:val="18"/>
              </w:rPr>
              <w:t>16</w:t>
            </w:r>
          </w:p>
        </w:tc>
        <w:tc>
          <w:tcPr>
            <w:tcW w:w="1458" w:type="dxa"/>
            <w:noWrap w:val="0"/>
            <w:vAlign w:val="center"/>
          </w:tcPr>
          <w:p w14:paraId="5E23E61E">
            <w:pPr>
              <w:widowControl/>
              <w:adjustRightInd w:val="0"/>
              <w:snapToGrid w:val="0"/>
              <w:spacing w:line="312" w:lineRule="auto"/>
              <w:ind w:firstLine="0" w:firstLineChars="0"/>
              <w:jc w:val="center"/>
              <w:rPr>
                <w:rFonts w:hint="eastAsia" w:ascii="宋体" w:hAnsi="宋体" w:cs="宋体"/>
                <w:color w:val="000000"/>
                <w:kern w:val="0"/>
                <w:sz w:val="18"/>
                <w:szCs w:val="18"/>
              </w:rPr>
            </w:pPr>
            <w:r>
              <w:rPr>
                <w:rFonts w:hint="eastAsia" w:ascii="宋体" w:hAnsi="宋体" w:cs="宋体"/>
                <w:color w:val="000000"/>
                <w:kern w:val="0"/>
                <w:sz w:val="18"/>
                <w:szCs w:val="18"/>
              </w:rPr>
              <w:t>准备中心</w:t>
            </w:r>
          </w:p>
        </w:tc>
        <w:tc>
          <w:tcPr>
            <w:tcW w:w="1491" w:type="dxa"/>
            <w:noWrap/>
            <w:vAlign w:val="center"/>
          </w:tcPr>
          <w:p w14:paraId="237F1BDA">
            <w:pPr>
              <w:widowControl/>
              <w:adjustRightInd w:val="0"/>
              <w:snapToGrid w:val="0"/>
              <w:spacing w:line="312" w:lineRule="auto"/>
              <w:ind w:firstLine="0" w:firstLineChars="0"/>
              <w:jc w:val="center"/>
              <w:rPr>
                <w:rFonts w:hint="eastAsia" w:ascii="宋体" w:hAnsi="宋体" w:cs="宋体"/>
                <w:color w:val="000000"/>
                <w:kern w:val="0"/>
                <w:sz w:val="18"/>
                <w:szCs w:val="18"/>
              </w:rPr>
            </w:pPr>
            <w:r>
              <w:rPr>
                <w:rFonts w:hint="eastAsia" w:ascii="宋体" w:hAnsi="宋体" w:cs="宋体"/>
                <w:color w:val="000000"/>
                <w:kern w:val="0"/>
                <w:sz w:val="18"/>
                <w:szCs w:val="18"/>
              </w:rPr>
              <w:t>14816</w:t>
            </w:r>
          </w:p>
        </w:tc>
        <w:tc>
          <w:tcPr>
            <w:tcW w:w="5029" w:type="dxa"/>
            <w:noWrap w:val="0"/>
            <w:vAlign w:val="center"/>
          </w:tcPr>
          <w:p w14:paraId="35151DD8">
            <w:pPr>
              <w:widowControl/>
              <w:adjustRightInd w:val="0"/>
              <w:snapToGrid w:val="0"/>
              <w:spacing w:line="312" w:lineRule="auto"/>
              <w:ind w:firstLine="0" w:firstLineChars="0"/>
              <w:jc w:val="left"/>
              <w:rPr>
                <w:rFonts w:hint="eastAsia" w:ascii="宋体" w:hAnsi="宋体" w:cs="宋体"/>
                <w:color w:val="000000"/>
                <w:kern w:val="0"/>
                <w:sz w:val="18"/>
                <w:szCs w:val="18"/>
              </w:rPr>
            </w:pPr>
            <w:r>
              <w:rPr>
                <w:rFonts w:hint="eastAsia" w:ascii="宋体" w:hAnsi="宋体" w:cs="宋体"/>
                <w:color w:val="000000"/>
                <w:kern w:val="0"/>
                <w:sz w:val="18"/>
                <w:szCs w:val="18"/>
              </w:rPr>
              <w:t>火灾自动报警系统、电气火灾监控系统、应急照明与疏散指示系统、气体灭火系统、室内外消火栓系统、消防泵系统及其它消防设施。</w:t>
            </w:r>
          </w:p>
        </w:tc>
      </w:tr>
      <w:tr w14:paraId="2D681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664" w:type="dxa"/>
            <w:noWrap/>
            <w:vAlign w:val="center"/>
          </w:tcPr>
          <w:p w14:paraId="1EB79F6A">
            <w:pPr>
              <w:widowControl/>
              <w:adjustRightInd w:val="0"/>
              <w:snapToGrid w:val="0"/>
              <w:spacing w:line="312" w:lineRule="auto"/>
              <w:ind w:firstLine="0" w:firstLineChars="0"/>
              <w:jc w:val="center"/>
              <w:rPr>
                <w:rFonts w:hint="eastAsia" w:ascii="宋体" w:hAnsi="宋体" w:cs="宋体"/>
                <w:color w:val="000000"/>
                <w:kern w:val="0"/>
                <w:sz w:val="18"/>
                <w:szCs w:val="18"/>
              </w:rPr>
            </w:pPr>
            <w:r>
              <w:rPr>
                <w:rFonts w:hint="eastAsia" w:ascii="宋体" w:hAnsi="宋体" w:cs="宋体"/>
                <w:color w:val="000000"/>
                <w:kern w:val="0"/>
                <w:sz w:val="18"/>
                <w:szCs w:val="18"/>
              </w:rPr>
              <w:t>17</w:t>
            </w:r>
          </w:p>
        </w:tc>
        <w:tc>
          <w:tcPr>
            <w:tcW w:w="1458" w:type="dxa"/>
            <w:noWrap w:val="0"/>
            <w:vAlign w:val="center"/>
          </w:tcPr>
          <w:p w14:paraId="31387EE0">
            <w:pPr>
              <w:widowControl/>
              <w:adjustRightInd w:val="0"/>
              <w:snapToGrid w:val="0"/>
              <w:spacing w:line="312" w:lineRule="auto"/>
              <w:ind w:firstLine="0" w:firstLineChars="0"/>
              <w:rPr>
                <w:rFonts w:hint="eastAsia" w:ascii="宋体" w:hAnsi="宋体" w:cs="宋体"/>
                <w:color w:val="000000"/>
                <w:kern w:val="0"/>
                <w:sz w:val="18"/>
                <w:szCs w:val="18"/>
              </w:rPr>
            </w:pPr>
            <w:r>
              <w:rPr>
                <w:rFonts w:hint="eastAsia" w:ascii="宋体" w:hAnsi="宋体" w:cs="宋体"/>
                <w:color w:val="000000"/>
                <w:kern w:val="0"/>
                <w:sz w:val="18"/>
                <w:szCs w:val="18"/>
              </w:rPr>
              <w:t>永和锅炉房</w:t>
            </w:r>
          </w:p>
        </w:tc>
        <w:tc>
          <w:tcPr>
            <w:tcW w:w="1491" w:type="dxa"/>
            <w:noWrap/>
            <w:vAlign w:val="center"/>
          </w:tcPr>
          <w:p w14:paraId="049CE6B9">
            <w:pPr>
              <w:widowControl/>
              <w:adjustRightInd w:val="0"/>
              <w:snapToGrid w:val="0"/>
              <w:spacing w:line="312" w:lineRule="auto"/>
              <w:ind w:firstLine="0" w:firstLineChars="0"/>
              <w:jc w:val="center"/>
              <w:rPr>
                <w:rFonts w:hint="eastAsia" w:ascii="宋体" w:hAnsi="宋体" w:cs="宋体"/>
                <w:color w:val="000000"/>
                <w:kern w:val="0"/>
                <w:sz w:val="18"/>
                <w:szCs w:val="18"/>
              </w:rPr>
            </w:pPr>
            <w:r>
              <w:rPr>
                <w:rFonts w:hint="eastAsia" w:ascii="宋体" w:hAnsi="宋体" w:cs="宋体"/>
                <w:color w:val="000000"/>
                <w:kern w:val="0"/>
                <w:sz w:val="18"/>
                <w:szCs w:val="18"/>
              </w:rPr>
              <w:t>1536</w:t>
            </w:r>
          </w:p>
        </w:tc>
        <w:tc>
          <w:tcPr>
            <w:tcW w:w="5029" w:type="dxa"/>
            <w:noWrap w:val="0"/>
            <w:vAlign w:val="center"/>
          </w:tcPr>
          <w:p w14:paraId="4AD8A886">
            <w:pPr>
              <w:widowControl/>
              <w:adjustRightInd w:val="0"/>
              <w:snapToGrid w:val="0"/>
              <w:spacing w:line="312" w:lineRule="auto"/>
              <w:ind w:firstLine="0" w:firstLineChars="0"/>
              <w:jc w:val="left"/>
              <w:rPr>
                <w:rFonts w:hint="eastAsia" w:ascii="宋体" w:hAnsi="宋体" w:cs="宋体"/>
                <w:color w:val="000000"/>
                <w:kern w:val="0"/>
                <w:sz w:val="18"/>
                <w:szCs w:val="18"/>
              </w:rPr>
            </w:pPr>
            <w:r>
              <w:rPr>
                <w:rFonts w:hint="eastAsia" w:ascii="宋体" w:hAnsi="宋体" w:cs="宋体"/>
                <w:color w:val="000000"/>
                <w:kern w:val="0"/>
                <w:sz w:val="18"/>
                <w:szCs w:val="18"/>
              </w:rPr>
              <w:t>火灾自动报警系统、可燃气体报警系统、消防广播、应急照明与疏散指示系统、电气火灾监控系统、室内外消火栓系统及其它消防设施。</w:t>
            </w:r>
          </w:p>
        </w:tc>
      </w:tr>
      <w:tr w14:paraId="58CAD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664" w:type="dxa"/>
            <w:noWrap/>
            <w:vAlign w:val="center"/>
          </w:tcPr>
          <w:p w14:paraId="49D8E576">
            <w:pPr>
              <w:widowControl/>
              <w:adjustRightInd w:val="0"/>
              <w:snapToGrid w:val="0"/>
              <w:spacing w:line="312" w:lineRule="auto"/>
              <w:ind w:firstLine="0" w:firstLineChars="0"/>
              <w:jc w:val="center"/>
              <w:rPr>
                <w:rFonts w:hint="eastAsia" w:ascii="宋体" w:hAnsi="宋体" w:cs="宋体"/>
                <w:color w:val="000000"/>
                <w:kern w:val="0"/>
                <w:sz w:val="18"/>
                <w:szCs w:val="18"/>
              </w:rPr>
            </w:pPr>
            <w:r>
              <w:rPr>
                <w:rFonts w:hint="eastAsia" w:ascii="宋体" w:hAnsi="宋体" w:cs="宋体"/>
                <w:color w:val="000000"/>
                <w:kern w:val="0"/>
                <w:sz w:val="18"/>
                <w:szCs w:val="18"/>
              </w:rPr>
              <w:t>18</w:t>
            </w:r>
          </w:p>
        </w:tc>
        <w:tc>
          <w:tcPr>
            <w:tcW w:w="1458" w:type="dxa"/>
            <w:noWrap w:val="0"/>
            <w:vAlign w:val="center"/>
          </w:tcPr>
          <w:p w14:paraId="6E959867">
            <w:pPr>
              <w:widowControl/>
              <w:adjustRightInd w:val="0"/>
              <w:snapToGrid w:val="0"/>
              <w:spacing w:line="312" w:lineRule="auto"/>
              <w:ind w:firstLine="0" w:firstLineChars="0"/>
              <w:rPr>
                <w:rFonts w:hint="eastAsia" w:ascii="宋体" w:hAnsi="宋体" w:cs="宋体"/>
                <w:color w:val="000000"/>
                <w:kern w:val="0"/>
                <w:sz w:val="18"/>
                <w:szCs w:val="18"/>
              </w:rPr>
            </w:pPr>
            <w:r>
              <w:rPr>
                <w:rFonts w:hint="eastAsia" w:ascii="宋体" w:hAnsi="宋体" w:cs="宋体"/>
                <w:color w:val="000000"/>
                <w:kern w:val="0"/>
                <w:sz w:val="18"/>
                <w:szCs w:val="18"/>
              </w:rPr>
              <w:t>西一门锅炉房</w:t>
            </w:r>
          </w:p>
        </w:tc>
        <w:tc>
          <w:tcPr>
            <w:tcW w:w="1491" w:type="dxa"/>
            <w:noWrap/>
            <w:vAlign w:val="center"/>
          </w:tcPr>
          <w:p w14:paraId="7948B8F3">
            <w:pPr>
              <w:widowControl/>
              <w:adjustRightInd w:val="0"/>
              <w:snapToGrid w:val="0"/>
              <w:spacing w:line="312" w:lineRule="auto"/>
              <w:ind w:firstLine="0" w:firstLineChars="0"/>
              <w:jc w:val="center"/>
              <w:rPr>
                <w:rFonts w:hint="eastAsia" w:ascii="宋体" w:hAnsi="宋体" w:cs="宋体"/>
                <w:color w:val="000000"/>
                <w:kern w:val="0"/>
                <w:sz w:val="18"/>
                <w:szCs w:val="18"/>
              </w:rPr>
            </w:pPr>
            <w:r>
              <w:rPr>
                <w:rFonts w:hint="eastAsia" w:ascii="宋体" w:hAnsi="宋体" w:cs="宋体"/>
                <w:color w:val="000000"/>
                <w:kern w:val="0"/>
                <w:sz w:val="18"/>
                <w:szCs w:val="18"/>
              </w:rPr>
              <w:t>2330</w:t>
            </w:r>
          </w:p>
        </w:tc>
        <w:tc>
          <w:tcPr>
            <w:tcW w:w="5029" w:type="dxa"/>
            <w:noWrap w:val="0"/>
            <w:vAlign w:val="center"/>
          </w:tcPr>
          <w:p w14:paraId="6C84858B">
            <w:pPr>
              <w:widowControl/>
              <w:adjustRightInd w:val="0"/>
              <w:snapToGrid w:val="0"/>
              <w:spacing w:line="312" w:lineRule="auto"/>
              <w:ind w:firstLine="0" w:firstLineChars="0"/>
              <w:jc w:val="left"/>
              <w:rPr>
                <w:rFonts w:hint="eastAsia" w:ascii="宋体" w:hAnsi="宋体" w:cs="宋体"/>
                <w:color w:val="000000"/>
                <w:kern w:val="0"/>
                <w:sz w:val="18"/>
                <w:szCs w:val="18"/>
              </w:rPr>
            </w:pPr>
            <w:r>
              <w:rPr>
                <w:rFonts w:hint="eastAsia" w:ascii="宋体" w:hAnsi="宋体" w:cs="宋体"/>
                <w:color w:val="000000"/>
                <w:kern w:val="0"/>
                <w:sz w:val="18"/>
                <w:szCs w:val="18"/>
              </w:rPr>
              <w:t>火灾自动报警系统、电气火灾监控系统、可燃气体报警系统、应急照明与疏散指示系统、室内外消火栓系统及其它消防设施。</w:t>
            </w:r>
          </w:p>
        </w:tc>
      </w:tr>
      <w:tr w14:paraId="53AA3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664" w:type="dxa"/>
            <w:noWrap/>
            <w:vAlign w:val="center"/>
          </w:tcPr>
          <w:p w14:paraId="2DF81889">
            <w:pPr>
              <w:widowControl/>
              <w:adjustRightInd w:val="0"/>
              <w:snapToGrid w:val="0"/>
              <w:spacing w:line="312" w:lineRule="auto"/>
              <w:ind w:firstLine="0" w:firstLineChars="0"/>
              <w:jc w:val="center"/>
              <w:rPr>
                <w:rFonts w:hint="eastAsia" w:ascii="宋体" w:hAnsi="宋体" w:cs="宋体"/>
                <w:color w:val="000000"/>
                <w:kern w:val="0"/>
                <w:sz w:val="18"/>
                <w:szCs w:val="18"/>
              </w:rPr>
            </w:pPr>
            <w:r>
              <w:rPr>
                <w:rFonts w:hint="eastAsia" w:ascii="宋体" w:hAnsi="宋体" w:cs="宋体"/>
                <w:color w:val="000000"/>
                <w:kern w:val="0"/>
                <w:sz w:val="18"/>
                <w:szCs w:val="18"/>
              </w:rPr>
              <w:t>19</w:t>
            </w:r>
          </w:p>
        </w:tc>
        <w:tc>
          <w:tcPr>
            <w:tcW w:w="1458" w:type="dxa"/>
            <w:noWrap w:val="0"/>
            <w:vAlign w:val="center"/>
          </w:tcPr>
          <w:p w14:paraId="1B399646">
            <w:pPr>
              <w:widowControl/>
              <w:adjustRightInd w:val="0"/>
              <w:snapToGrid w:val="0"/>
              <w:spacing w:line="312" w:lineRule="auto"/>
              <w:ind w:firstLine="0" w:firstLineChars="0"/>
              <w:rPr>
                <w:rFonts w:hint="eastAsia" w:ascii="宋体" w:hAnsi="宋体" w:cs="宋体"/>
                <w:color w:val="000000"/>
                <w:kern w:val="0"/>
                <w:sz w:val="18"/>
                <w:szCs w:val="18"/>
              </w:rPr>
            </w:pPr>
            <w:r>
              <w:rPr>
                <w:rFonts w:hint="eastAsia" w:ascii="宋体" w:hAnsi="宋体" w:cs="宋体"/>
                <w:color w:val="000000"/>
                <w:kern w:val="0"/>
                <w:sz w:val="18"/>
                <w:szCs w:val="18"/>
              </w:rPr>
              <w:t>龙池锅炉房</w:t>
            </w:r>
          </w:p>
        </w:tc>
        <w:tc>
          <w:tcPr>
            <w:tcW w:w="1491" w:type="dxa"/>
            <w:noWrap/>
            <w:vAlign w:val="center"/>
          </w:tcPr>
          <w:p w14:paraId="2491C69E">
            <w:pPr>
              <w:widowControl/>
              <w:adjustRightInd w:val="0"/>
              <w:snapToGrid w:val="0"/>
              <w:spacing w:line="312" w:lineRule="auto"/>
              <w:ind w:firstLine="0" w:firstLineChars="0"/>
              <w:jc w:val="center"/>
              <w:rPr>
                <w:rFonts w:hint="eastAsia" w:ascii="宋体" w:hAnsi="宋体" w:cs="宋体"/>
                <w:color w:val="000000"/>
                <w:kern w:val="0"/>
                <w:sz w:val="18"/>
                <w:szCs w:val="18"/>
              </w:rPr>
            </w:pPr>
            <w:r>
              <w:rPr>
                <w:rFonts w:hint="eastAsia" w:ascii="宋体" w:hAnsi="宋体" w:cs="宋体"/>
                <w:color w:val="000000"/>
                <w:kern w:val="0"/>
                <w:sz w:val="18"/>
                <w:szCs w:val="18"/>
              </w:rPr>
              <w:t>1116</w:t>
            </w:r>
          </w:p>
        </w:tc>
        <w:tc>
          <w:tcPr>
            <w:tcW w:w="5029" w:type="dxa"/>
            <w:noWrap w:val="0"/>
            <w:vAlign w:val="center"/>
          </w:tcPr>
          <w:p w14:paraId="32C60118">
            <w:pPr>
              <w:widowControl/>
              <w:adjustRightInd w:val="0"/>
              <w:snapToGrid w:val="0"/>
              <w:spacing w:line="312" w:lineRule="auto"/>
              <w:ind w:firstLine="0" w:firstLineChars="0"/>
              <w:jc w:val="left"/>
              <w:rPr>
                <w:rFonts w:hint="eastAsia" w:ascii="宋体" w:hAnsi="宋体" w:cs="宋体"/>
                <w:color w:val="000000"/>
                <w:kern w:val="0"/>
                <w:sz w:val="18"/>
                <w:szCs w:val="18"/>
              </w:rPr>
            </w:pPr>
            <w:r>
              <w:rPr>
                <w:rFonts w:hint="eastAsia" w:ascii="宋体" w:hAnsi="宋体" w:cs="宋体"/>
                <w:color w:val="000000"/>
                <w:kern w:val="0"/>
                <w:sz w:val="18"/>
                <w:szCs w:val="18"/>
              </w:rPr>
              <w:t>火灾自动报警系统、可燃气体探测系统、电气火灾监控系统、消防应急照明及疏散指示标志、消火栓及其它消防设施</w:t>
            </w:r>
          </w:p>
        </w:tc>
      </w:tr>
      <w:tr w14:paraId="4EB40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664" w:type="dxa"/>
            <w:noWrap/>
            <w:vAlign w:val="center"/>
          </w:tcPr>
          <w:p w14:paraId="4106A3AC">
            <w:pPr>
              <w:widowControl/>
              <w:adjustRightInd w:val="0"/>
              <w:snapToGrid w:val="0"/>
              <w:spacing w:line="312" w:lineRule="auto"/>
              <w:ind w:firstLine="0" w:firstLineChars="0"/>
              <w:jc w:val="center"/>
              <w:rPr>
                <w:rFonts w:hint="eastAsia" w:ascii="宋体" w:hAnsi="宋体" w:cs="宋体"/>
                <w:color w:val="000000"/>
                <w:kern w:val="0"/>
                <w:sz w:val="18"/>
                <w:szCs w:val="18"/>
              </w:rPr>
            </w:pPr>
            <w:r>
              <w:rPr>
                <w:rFonts w:hint="eastAsia" w:ascii="宋体" w:hAnsi="宋体" w:cs="宋体"/>
                <w:color w:val="000000"/>
                <w:kern w:val="0"/>
                <w:sz w:val="18"/>
                <w:szCs w:val="18"/>
              </w:rPr>
              <w:t>20</w:t>
            </w:r>
          </w:p>
        </w:tc>
        <w:tc>
          <w:tcPr>
            <w:tcW w:w="1458" w:type="dxa"/>
            <w:noWrap w:val="0"/>
            <w:vAlign w:val="center"/>
          </w:tcPr>
          <w:p w14:paraId="6BD947DA">
            <w:pPr>
              <w:widowControl/>
              <w:adjustRightInd w:val="0"/>
              <w:snapToGrid w:val="0"/>
              <w:spacing w:line="312" w:lineRule="auto"/>
              <w:ind w:firstLine="0" w:firstLineChars="0"/>
              <w:rPr>
                <w:rFonts w:hint="eastAsia" w:ascii="宋体" w:hAnsi="宋体" w:cs="宋体"/>
                <w:color w:val="000000"/>
                <w:kern w:val="0"/>
                <w:sz w:val="18"/>
                <w:szCs w:val="18"/>
              </w:rPr>
            </w:pPr>
            <w:r>
              <w:rPr>
                <w:rFonts w:hint="eastAsia" w:ascii="宋体" w:hAnsi="宋体" w:cs="宋体"/>
                <w:color w:val="000000"/>
                <w:kern w:val="0"/>
                <w:sz w:val="18"/>
                <w:szCs w:val="18"/>
              </w:rPr>
              <w:t>110KV变电站</w:t>
            </w:r>
          </w:p>
        </w:tc>
        <w:tc>
          <w:tcPr>
            <w:tcW w:w="1491" w:type="dxa"/>
            <w:noWrap/>
            <w:vAlign w:val="center"/>
          </w:tcPr>
          <w:p w14:paraId="19E22531">
            <w:pPr>
              <w:widowControl/>
              <w:adjustRightInd w:val="0"/>
              <w:snapToGrid w:val="0"/>
              <w:spacing w:line="312" w:lineRule="auto"/>
              <w:ind w:firstLine="0" w:firstLineChars="0"/>
              <w:jc w:val="center"/>
              <w:rPr>
                <w:rFonts w:hint="eastAsia" w:ascii="宋体" w:hAnsi="宋体" w:cs="宋体"/>
                <w:color w:val="000000"/>
                <w:kern w:val="0"/>
                <w:sz w:val="18"/>
                <w:szCs w:val="18"/>
              </w:rPr>
            </w:pPr>
            <w:r>
              <w:rPr>
                <w:rFonts w:hint="eastAsia" w:ascii="宋体" w:hAnsi="宋体" w:cs="宋体"/>
                <w:color w:val="000000"/>
                <w:kern w:val="0"/>
                <w:sz w:val="18"/>
                <w:szCs w:val="18"/>
              </w:rPr>
              <w:t>478</w:t>
            </w:r>
          </w:p>
        </w:tc>
        <w:tc>
          <w:tcPr>
            <w:tcW w:w="5029" w:type="dxa"/>
            <w:noWrap w:val="0"/>
            <w:vAlign w:val="center"/>
          </w:tcPr>
          <w:p w14:paraId="123F696F">
            <w:pPr>
              <w:widowControl/>
              <w:adjustRightInd w:val="0"/>
              <w:snapToGrid w:val="0"/>
              <w:spacing w:line="312" w:lineRule="auto"/>
              <w:ind w:firstLine="0" w:firstLineChars="0"/>
              <w:jc w:val="left"/>
              <w:rPr>
                <w:rFonts w:hint="eastAsia" w:ascii="宋体" w:hAnsi="宋体" w:cs="宋体"/>
                <w:color w:val="000000"/>
                <w:kern w:val="0"/>
                <w:sz w:val="18"/>
                <w:szCs w:val="18"/>
              </w:rPr>
            </w:pPr>
            <w:r>
              <w:rPr>
                <w:rFonts w:hint="eastAsia" w:ascii="宋体" w:hAnsi="宋体" w:cs="宋体"/>
                <w:color w:val="000000"/>
                <w:kern w:val="0"/>
                <w:sz w:val="18"/>
                <w:szCs w:val="18"/>
              </w:rPr>
              <w:t>消防供配电设施、电气火灾监控系统、火灾自动报警系统、火灾应急广播、消防应急照明及疏散指示标志气体灭火系统其它消防设施</w:t>
            </w:r>
          </w:p>
        </w:tc>
      </w:tr>
      <w:tr w14:paraId="30C15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atLeast"/>
          <w:jc w:val="center"/>
        </w:trPr>
        <w:tc>
          <w:tcPr>
            <w:tcW w:w="664" w:type="dxa"/>
            <w:noWrap/>
            <w:vAlign w:val="center"/>
          </w:tcPr>
          <w:p w14:paraId="5EC24CD3">
            <w:pPr>
              <w:widowControl/>
              <w:adjustRightInd w:val="0"/>
              <w:snapToGrid w:val="0"/>
              <w:spacing w:line="312" w:lineRule="auto"/>
              <w:ind w:firstLine="0" w:firstLineChars="0"/>
              <w:jc w:val="center"/>
              <w:rPr>
                <w:rFonts w:hint="eastAsia" w:ascii="宋体" w:hAnsi="宋体" w:cs="宋体"/>
                <w:color w:val="000000"/>
                <w:kern w:val="0"/>
                <w:sz w:val="18"/>
                <w:szCs w:val="18"/>
              </w:rPr>
            </w:pPr>
            <w:r>
              <w:rPr>
                <w:rFonts w:hint="eastAsia" w:ascii="宋体" w:hAnsi="宋体" w:cs="宋体"/>
                <w:color w:val="000000"/>
                <w:kern w:val="0"/>
                <w:sz w:val="18"/>
                <w:szCs w:val="18"/>
              </w:rPr>
              <w:t>21</w:t>
            </w:r>
          </w:p>
        </w:tc>
        <w:tc>
          <w:tcPr>
            <w:tcW w:w="1458" w:type="dxa"/>
            <w:noWrap w:val="0"/>
            <w:vAlign w:val="center"/>
          </w:tcPr>
          <w:p w14:paraId="348E7F4D">
            <w:pPr>
              <w:widowControl/>
              <w:adjustRightInd w:val="0"/>
              <w:snapToGrid w:val="0"/>
              <w:spacing w:line="312" w:lineRule="auto"/>
              <w:ind w:firstLine="0" w:firstLineChars="0"/>
              <w:jc w:val="center"/>
              <w:rPr>
                <w:rFonts w:hint="eastAsia" w:ascii="宋体" w:hAnsi="宋体" w:cs="宋体"/>
                <w:color w:val="000000"/>
                <w:kern w:val="0"/>
                <w:sz w:val="18"/>
                <w:szCs w:val="18"/>
              </w:rPr>
            </w:pPr>
            <w:r>
              <w:rPr>
                <w:rFonts w:hint="eastAsia" w:ascii="宋体" w:hAnsi="宋体" w:cs="宋体"/>
                <w:color w:val="000000"/>
                <w:kern w:val="0"/>
                <w:sz w:val="18"/>
                <w:szCs w:val="18"/>
              </w:rPr>
              <w:t>魏家营</w:t>
            </w:r>
          </w:p>
          <w:p w14:paraId="1738CAF9">
            <w:pPr>
              <w:widowControl/>
              <w:adjustRightInd w:val="0"/>
              <w:snapToGrid w:val="0"/>
              <w:spacing w:line="312" w:lineRule="auto"/>
              <w:ind w:firstLine="0" w:firstLineChars="0"/>
              <w:jc w:val="center"/>
              <w:rPr>
                <w:rFonts w:hint="eastAsia" w:ascii="宋体" w:hAnsi="宋体" w:cs="宋体"/>
                <w:color w:val="000000"/>
                <w:kern w:val="0"/>
                <w:sz w:val="18"/>
                <w:szCs w:val="18"/>
              </w:rPr>
            </w:pPr>
            <w:r>
              <w:rPr>
                <w:rFonts w:hint="eastAsia" w:ascii="宋体" w:hAnsi="宋体" w:cs="宋体"/>
                <w:color w:val="000000"/>
                <w:kern w:val="0"/>
                <w:sz w:val="18"/>
                <w:szCs w:val="18"/>
              </w:rPr>
              <w:t>废水处理中心</w:t>
            </w:r>
          </w:p>
        </w:tc>
        <w:tc>
          <w:tcPr>
            <w:tcW w:w="1491" w:type="dxa"/>
            <w:noWrap/>
            <w:vAlign w:val="center"/>
          </w:tcPr>
          <w:p w14:paraId="6F699F48">
            <w:pPr>
              <w:widowControl/>
              <w:adjustRightInd w:val="0"/>
              <w:snapToGrid w:val="0"/>
              <w:spacing w:line="312" w:lineRule="auto"/>
              <w:ind w:firstLine="0" w:firstLineChars="0"/>
              <w:jc w:val="center"/>
              <w:rPr>
                <w:rFonts w:hint="eastAsia" w:ascii="宋体" w:hAnsi="宋体" w:cs="宋体"/>
                <w:color w:val="000000"/>
                <w:kern w:val="0"/>
                <w:sz w:val="18"/>
                <w:szCs w:val="18"/>
              </w:rPr>
            </w:pPr>
            <w:r>
              <w:rPr>
                <w:rFonts w:hint="eastAsia" w:ascii="宋体" w:hAnsi="宋体" w:cs="宋体"/>
                <w:color w:val="000000"/>
                <w:kern w:val="0"/>
                <w:sz w:val="18"/>
                <w:szCs w:val="18"/>
              </w:rPr>
              <w:t>6460</w:t>
            </w:r>
          </w:p>
        </w:tc>
        <w:tc>
          <w:tcPr>
            <w:tcW w:w="5029" w:type="dxa"/>
            <w:noWrap w:val="0"/>
            <w:vAlign w:val="center"/>
          </w:tcPr>
          <w:p w14:paraId="7C520756">
            <w:pPr>
              <w:widowControl/>
              <w:adjustRightInd w:val="0"/>
              <w:snapToGrid w:val="0"/>
              <w:spacing w:line="312" w:lineRule="auto"/>
              <w:ind w:firstLine="0" w:firstLineChars="0"/>
              <w:jc w:val="left"/>
              <w:rPr>
                <w:rFonts w:hint="eastAsia" w:ascii="宋体" w:hAnsi="宋体" w:cs="宋体"/>
                <w:color w:val="000000"/>
                <w:kern w:val="0"/>
                <w:sz w:val="18"/>
                <w:szCs w:val="18"/>
              </w:rPr>
            </w:pPr>
            <w:r>
              <w:rPr>
                <w:rFonts w:hint="eastAsia" w:ascii="宋体" w:hAnsi="宋体" w:cs="宋体"/>
                <w:color w:val="000000"/>
                <w:kern w:val="0"/>
                <w:sz w:val="18"/>
                <w:szCs w:val="18"/>
              </w:rPr>
              <w:t>火灾自动报警系统、可燃气体探测系统、电气火灾监控系统、应急照明及疏散指示及其它消防设施</w:t>
            </w:r>
          </w:p>
        </w:tc>
      </w:tr>
      <w:tr w14:paraId="33B7C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64" w:type="dxa"/>
            <w:noWrap/>
            <w:vAlign w:val="center"/>
          </w:tcPr>
          <w:p w14:paraId="2498B533">
            <w:pPr>
              <w:widowControl/>
              <w:adjustRightInd w:val="0"/>
              <w:snapToGrid w:val="0"/>
              <w:spacing w:line="312" w:lineRule="auto"/>
              <w:ind w:firstLine="0" w:firstLineChars="0"/>
              <w:jc w:val="center"/>
              <w:rPr>
                <w:rFonts w:hint="eastAsia" w:ascii="宋体" w:hAnsi="宋体" w:cs="宋体"/>
                <w:color w:val="000000"/>
                <w:kern w:val="0"/>
                <w:sz w:val="18"/>
                <w:szCs w:val="18"/>
              </w:rPr>
            </w:pPr>
            <w:r>
              <w:rPr>
                <w:rFonts w:hint="eastAsia" w:ascii="宋体" w:hAnsi="宋体" w:cs="宋体"/>
                <w:color w:val="000000"/>
                <w:kern w:val="0"/>
                <w:sz w:val="18"/>
                <w:szCs w:val="18"/>
              </w:rPr>
              <w:t>22</w:t>
            </w:r>
          </w:p>
        </w:tc>
        <w:tc>
          <w:tcPr>
            <w:tcW w:w="1458" w:type="dxa"/>
            <w:noWrap w:val="0"/>
            <w:vAlign w:val="center"/>
          </w:tcPr>
          <w:p w14:paraId="3AC68A45">
            <w:pPr>
              <w:widowControl/>
              <w:adjustRightInd w:val="0"/>
              <w:snapToGrid w:val="0"/>
              <w:spacing w:line="312" w:lineRule="auto"/>
              <w:ind w:firstLine="0" w:firstLineChars="0"/>
              <w:jc w:val="center"/>
              <w:rPr>
                <w:rFonts w:hint="eastAsia" w:ascii="宋体" w:hAnsi="宋体" w:cs="宋体"/>
                <w:color w:val="000000"/>
                <w:kern w:val="0"/>
                <w:sz w:val="18"/>
                <w:szCs w:val="18"/>
              </w:rPr>
            </w:pPr>
            <w:r>
              <w:rPr>
                <w:rFonts w:hint="eastAsia" w:ascii="宋体" w:hAnsi="宋体" w:cs="宋体"/>
                <w:color w:val="000000"/>
                <w:kern w:val="0"/>
                <w:sz w:val="18"/>
                <w:szCs w:val="18"/>
              </w:rPr>
              <w:t>艺术中心</w:t>
            </w:r>
          </w:p>
        </w:tc>
        <w:tc>
          <w:tcPr>
            <w:tcW w:w="1491" w:type="dxa"/>
            <w:noWrap/>
            <w:vAlign w:val="center"/>
          </w:tcPr>
          <w:p w14:paraId="5DB3C23E">
            <w:pPr>
              <w:widowControl/>
              <w:adjustRightInd w:val="0"/>
              <w:snapToGrid w:val="0"/>
              <w:spacing w:line="312" w:lineRule="auto"/>
              <w:ind w:firstLine="0" w:firstLineChars="0"/>
              <w:jc w:val="center"/>
              <w:rPr>
                <w:rFonts w:hint="eastAsia" w:ascii="宋体" w:hAnsi="宋体" w:cs="宋体"/>
                <w:color w:val="000000"/>
                <w:kern w:val="0"/>
                <w:sz w:val="18"/>
                <w:szCs w:val="18"/>
              </w:rPr>
            </w:pPr>
            <w:r>
              <w:rPr>
                <w:rFonts w:hint="eastAsia" w:ascii="宋体" w:hAnsi="宋体" w:cs="宋体"/>
                <w:color w:val="000000"/>
                <w:kern w:val="0"/>
                <w:sz w:val="18"/>
                <w:szCs w:val="18"/>
              </w:rPr>
              <w:t>23440</w:t>
            </w:r>
          </w:p>
        </w:tc>
        <w:tc>
          <w:tcPr>
            <w:tcW w:w="5029" w:type="dxa"/>
            <w:noWrap w:val="0"/>
            <w:vAlign w:val="center"/>
          </w:tcPr>
          <w:p w14:paraId="190E87CB">
            <w:pPr>
              <w:widowControl/>
              <w:adjustRightInd w:val="0"/>
              <w:snapToGrid w:val="0"/>
              <w:spacing w:line="312" w:lineRule="auto"/>
              <w:ind w:firstLine="0" w:firstLineChars="0"/>
              <w:jc w:val="left"/>
              <w:rPr>
                <w:rFonts w:hint="eastAsia" w:ascii="宋体" w:hAnsi="宋体" w:cs="宋体"/>
                <w:color w:val="000000"/>
                <w:kern w:val="0"/>
                <w:sz w:val="18"/>
                <w:szCs w:val="18"/>
              </w:rPr>
            </w:pPr>
            <w:r>
              <w:rPr>
                <w:rFonts w:hint="eastAsia" w:ascii="宋体" w:hAnsi="宋体" w:cs="宋体"/>
                <w:color w:val="000000"/>
                <w:kern w:val="0"/>
                <w:sz w:val="18"/>
                <w:szCs w:val="18"/>
              </w:rPr>
              <w:t>火灾自动报警系统、喷淋系统、自动消防炮系统、应急照明与疏散指示系统、消防广播系统、防排烟系统、气体灭火系统、厨房灭火系统、可燃气体报警系统、室内外消火栓系统、防火门、消防泵系统及其它消防设施。</w:t>
            </w:r>
          </w:p>
        </w:tc>
      </w:tr>
      <w:tr w14:paraId="04C12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664" w:type="dxa"/>
            <w:noWrap/>
            <w:vAlign w:val="center"/>
          </w:tcPr>
          <w:p w14:paraId="118E3FAF">
            <w:pPr>
              <w:widowControl/>
              <w:adjustRightInd w:val="0"/>
              <w:snapToGrid w:val="0"/>
              <w:spacing w:line="312" w:lineRule="auto"/>
              <w:ind w:firstLine="0" w:firstLineChars="0"/>
              <w:jc w:val="center"/>
              <w:rPr>
                <w:rFonts w:hint="eastAsia" w:ascii="宋体" w:hAnsi="宋体" w:cs="宋体"/>
                <w:color w:val="000000"/>
                <w:kern w:val="0"/>
                <w:sz w:val="18"/>
                <w:szCs w:val="18"/>
              </w:rPr>
            </w:pPr>
            <w:r>
              <w:rPr>
                <w:rFonts w:hint="eastAsia" w:ascii="宋体" w:hAnsi="宋体" w:cs="宋体"/>
                <w:color w:val="000000"/>
                <w:kern w:val="0"/>
                <w:sz w:val="18"/>
                <w:szCs w:val="18"/>
              </w:rPr>
              <w:t>23</w:t>
            </w:r>
          </w:p>
        </w:tc>
        <w:tc>
          <w:tcPr>
            <w:tcW w:w="1458" w:type="dxa"/>
            <w:noWrap w:val="0"/>
            <w:vAlign w:val="center"/>
          </w:tcPr>
          <w:p w14:paraId="0681C25D">
            <w:pPr>
              <w:widowControl/>
              <w:adjustRightInd w:val="0"/>
              <w:snapToGrid w:val="0"/>
              <w:spacing w:line="312" w:lineRule="auto"/>
              <w:ind w:firstLine="0" w:firstLineChars="0"/>
              <w:jc w:val="center"/>
              <w:rPr>
                <w:rFonts w:hint="eastAsia" w:ascii="宋体" w:hAnsi="宋体" w:cs="宋体"/>
                <w:color w:val="000000"/>
                <w:kern w:val="0"/>
                <w:sz w:val="18"/>
                <w:szCs w:val="18"/>
              </w:rPr>
            </w:pPr>
            <w:r>
              <w:rPr>
                <w:rFonts w:hint="eastAsia" w:ascii="宋体" w:hAnsi="宋体" w:cs="宋体"/>
                <w:color w:val="000000"/>
                <w:kern w:val="0"/>
                <w:sz w:val="18"/>
                <w:szCs w:val="18"/>
              </w:rPr>
              <w:t>芳樽酒堡</w:t>
            </w:r>
          </w:p>
        </w:tc>
        <w:tc>
          <w:tcPr>
            <w:tcW w:w="1491" w:type="dxa"/>
            <w:noWrap/>
            <w:vAlign w:val="center"/>
          </w:tcPr>
          <w:p w14:paraId="11CCAE33">
            <w:pPr>
              <w:widowControl/>
              <w:adjustRightInd w:val="0"/>
              <w:snapToGrid w:val="0"/>
              <w:spacing w:line="312" w:lineRule="auto"/>
              <w:ind w:firstLine="0" w:firstLineChars="0"/>
              <w:jc w:val="center"/>
              <w:rPr>
                <w:rFonts w:hint="eastAsia" w:ascii="宋体" w:hAnsi="宋体" w:cs="宋体"/>
                <w:color w:val="000000"/>
                <w:kern w:val="0"/>
                <w:sz w:val="18"/>
                <w:szCs w:val="18"/>
              </w:rPr>
            </w:pPr>
            <w:r>
              <w:rPr>
                <w:rFonts w:hint="eastAsia" w:ascii="宋体" w:hAnsi="宋体" w:cs="宋体"/>
                <w:color w:val="000000"/>
                <w:kern w:val="0"/>
                <w:sz w:val="18"/>
                <w:szCs w:val="18"/>
              </w:rPr>
              <w:t>6072</w:t>
            </w:r>
          </w:p>
        </w:tc>
        <w:tc>
          <w:tcPr>
            <w:tcW w:w="5029" w:type="dxa"/>
            <w:noWrap w:val="0"/>
            <w:vAlign w:val="center"/>
          </w:tcPr>
          <w:p w14:paraId="4E90F894">
            <w:pPr>
              <w:widowControl/>
              <w:adjustRightInd w:val="0"/>
              <w:snapToGrid w:val="0"/>
              <w:spacing w:line="312" w:lineRule="auto"/>
              <w:ind w:firstLine="0" w:firstLineChars="0"/>
              <w:jc w:val="left"/>
              <w:rPr>
                <w:rFonts w:hint="eastAsia" w:ascii="宋体" w:hAnsi="宋体" w:cs="宋体"/>
                <w:color w:val="000000"/>
                <w:kern w:val="0"/>
                <w:sz w:val="18"/>
                <w:szCs w:val="18"/>
              </w:rPr>
            </w:pPr>
            <w:r>
              <w:rPr>
                <w:rFonts w:hint="eastAsia" w:ascii="宋体" w:hAnsi="宋体" w:cs="宋体"/>
                <w:color w:val="000000"/>
                <w:kern w:val="0"/>
                <w:sz w:val="18"/>
                <w:szCs w:val="18"/>
              </w:rPr>
              <w:t>火灾自动报警系统、电气火灾监控系统、消防广播、消防应急照明及疏散指示标志、自动喷水灭火系统、防排烟系统、气体灭火系统、室内外消防管道及消火栓、防火门、防火卷帘及其它消防设施</w:t>
            </w:r>
          </w:p>
        </w:tc>
      </w:tr>
    </w:tbl>
    <w:p w14:paraId="595DB83C">
      <w:pPr>
        <w:ind w:firstLine="0" w:firstLineChars="0"/>
        <w:jc w:val="left"/>
        <w:rPr>
          <w:rFonts w:hint="eastAsia" w:ascii="宋体" w:hAnsi="宋体"/>
          <w:kern w:val="0"/>
          <w:szCs w:val="20"/>
        </w:rPr>
      </w:pPr>
    </w:p>
    <w:p w14:paraId="7A0D39E2">
      <w:pPr>
        <w:pStyle w:val="7"/>
        <w:spacing w:line="360" w:lineRule="auto"/>
        <w:ind w:firstLine="480"/>
        <w:rPr>
          <w:rFonts w:hint="eastAsia" w:ascii="宋体" w:hAnsi="宋体"/>
          <w:b w:val="0"/>
          <w:kern w:val="0"/>
          <w:szCs w:val="20"/>
        </w:rPr>
      </w:pPr>
      <w:r>
        <w:rPr>
          <w:rFonts w:hint="eastAsia" w:ascii="宋体" w:hAnsi="宋体"/>
          <w:b w:val="0"/>
          <w:kern w:val="0"/>
          <w:szCs w:val="20"/>
        </w:rPr>
        <w:t>2.4招标范围：</w:t>
      </w:r>
      <w:r>
        <w:rPr>
          <w:rFonts w:hint="eastAsia" w:ascii="宋体" w:hAnsi="宋体" w:cs="宋体"/>
          <w:b w:val="0"/>
          <w:kern w:val="0"/>
          <w:shd w:val="clear" w:color="auto" w:fill="FFFFFF"/>
        </w:rPr>
        <w:t>本</w:t>
      </w:r>
      <w:r>
        <w:rPr>
          <w:rFonts w:hint="eastAsia" w:ascii="宋体" w:hAnsi="宋体" w:cs="宋体"/>
          <w:b w:val="0"/>
          <w:bCs/>
          <w:kern w:val="0"/>
          <w:shd w:val="clear" w:color="auto" w:fill="FFFFFF"/>
        </w:rPr>
        <w:t>维保服务项目主要对舍得酒业股份有限公司产研总部的消防设施开展巡检、消缺、维护、保养、抢修、检修、检测等工作，保障消防设施完好可靠。同时配合消防年审、验收、培训演练及消防相关专业工作，确保消防管理合规性</w:t>
      </w:r>
      <w:r>
        <w:rPr>
          <w:rFonts w:hint="eastAsia" w:ascii="宋体" w:hAnsi="宋体"/>
          <w:b w:val="0"/>
          <w:bCs/>
          <w:kern w:val="0"/>
          <w:szCs w:val="20"/>
        </w:rPr>
        <w:t>。</w:t>
      </w:r>
      <w:r>
        <w:rPr>
          <w:rFonts w:hint="eastAsia" w:ascii="宋体" w:hAnsi="宋体"/>
          <w:b w:val="0"/>
          <w:kern w:val="0"/>
          <w:szCs w:val="20"/>
        </w:rPr>
        <w:t>具体详见招标文件第五章。</w:t>
      </w:r>
    </w:p>
    <w:p w14:paraId="29A7E3AD">
      <w:pPr>
        <w:spacing w:line="360" w:lineRule="auto"/>
        <w:ind w:firstLine="480"/>
        <w:rPr>
          <w:rFonts w:hint="eastAsia" w:ascii="宋体" w:hAnsi="宋体"/>
          <w:kern w:val="0"/>
          <w:szCs w:val="20"/>
        </w:rPr>
      </w:pPr>
      <w:r>
        <w:rPr>
          <w:rFonts w:hint="eastAsia" w:ascii="宋体" w:hAnsi="宋体"/>
          <w:kern w:val="0"/>
          <w:szCs w:val="20"/>
        </w:rPr>
        <w:t>2.5维保方式：驻场维保。</w:t>
      </w:r>
    </w:p>
    <w:p w14:paraId="1AC7F3BE">
      <w:pPr>
        <w:pStyle w:val="7"/>
        <w:spacing w:line="360" w:lineRule="auto"/>
        <w:ind w:firstLine="480"/>
        <w:rPr>
          <w:rFonts w:hint="eastAsia" w:ascii="宋体" w:hAnsi="宋体"/>
          <w:b w:val="0"/>
          <w:kern w:val="0"/>
          <w:szCs w:val="20"/>
        </w:rPr>
      </w:pPr>
      <w:r>
        <w:rPr>
          <w:rFonts w:hint="eastAsia" w:ascii="宋体" w:hAnsi="宋体"/>
          <w:b w:val="0"/>
          <w:kern w:val="0"/>
          <w:szCs w:val="20"/>
        </w:rPr>
        <w:t>2.6服务期限：自签订合同之日起贰年。若维</w:t>
      </w:r>
      <w:r>
        <w:rPr>
          <w:rFonts w:hint="eastAsia" w:ascii="宋体" w:hAnsi="宋体"/>
          <w:b w:val="0"/>
          <w:bCs/>
          <w:kern w:val="0"/>
          <w:szCs w:val="20"/>
        </w:rPr>
        <w:t>保试用期（3个月）考核不合格</w:t>
      </w:r>
      <w:r>
        <w:rPr>
          <w:rFonts w:hint="eastAsia" w:ascii="宋体" w:hAnsi="宋体"/>
          <w:b w:val="0"/>
          <w:kern w:val="0"/>
          <w:szCs w:val="20"/>
        </w:rPr>
        <w:t>，则招标人有权无责解除合同。</w:t>
      </w:r>
    </w:p>
    <w:p w14:paraId="55E81719">
      <w:pPr>
        <w:spacing w:line="360" w:lineRule="auto"/>
        <w:ind w:firstLine="480"/>
      </w:pPr>
      <w:r>
        <w:rPr>
          <w:rFonts w:hint="eastAsia" w:ascii="宋体" w:hAnsi="宋体"/>
          <w:kern w:val="0"/>
          <w:szCs w:val="20"/>
        </w:rPr>
        <w:t>2.7 本次招标资格审查方式为资格预审。</w:t>
      </w:r>
    </w:p>
    <w:p w14:paraId="3B895F9D">
      <w:pPr>
        <w:adjustRightInd w:val="0"/>
        <w:snapToGrid w:val="0"/>
        <w:spacing w:line="440" w:lineRule="exact"/>
        <w:ind w:firstLine="482"/>
        <w:rPr>
          <w:rFonts w:hint="eastAsia" w:ascii="宋体" w:hAnsi="宋体"/>
          <w:kern w:val="0"/>
          <w:szCs w:val="20"/>
        </w:rPr>
      </w:pPr>
      <w:bookmarkStart w:id="6" w:name="_Toc34991890"/>
      <w:r>
        <w:rPr>
          <w:rFonts w:hint="eastAsia" w:ascii="宋体" w:hAnsi="宋体"/>
          <w:b/>
          <w:bCs/>
        </w:rPr>
        <w:t xml:space="preserve">三. </w:t>
      </w:r>
      <w:bookmarkEnd w:id="6"/>
      <w:r>
        <w:rPr>
          <w:rFonts w:ascii="宋体" w:hAnsi="宋体" w:cs="宋体"/>
          <w:b/>
          <w:bCs/>
        </w:rPr>
        <w:t>以下条件属于资格审查必要合格条件</w:t>
      </w:r>
    </w:p>
    <w:p w14:paraId="471A4308">
      <w:pPr>
        <w:spacing w:line="360" w:lineRule="auto"/>
        <w:ind w:firstLine="480"/>
        <w:rPr>
          <w:rFonts w:hint="eastAsia" w:ascii="宋体" w:hAnsi="宋体"/>
          <w:kern w:val="0"/>
          <w:szCs w:val="20"/>
        </w:rPr>
      </w:pPr>
      <w:r>
        <w:rPr>
          <w:rFonts w:hint="eastAsia" w:ascii="宋体" w:hAnsi="宋体"/>
          <w:kern w:val="0"/>
          <w:szCs w:val="20"/>
        </w:rPr>
        <w:t xml:space="preserve">3.1 </w:t>
      </w:r>
      <w:r>
        <w:rPr>
          <w:rFonts w:hint="eastAsia" w:ascii="宋体" w:hAnsi="宋体" w:cs="宋体"/>
          <w:bCs/>
        </w:rPr>
        <w:t>投标人须是具有独立法人资格并依法取得企业营业执照，</w:t>
      </w:r>
      <w:r>
        <w:rPr>
          <w:rFonts w:hint="eastAsia" w:ascii="宋体" w:hAnsi="宋体"/>
          <w:snapToGrid w:val="0"/>
        </w:rPr>
        <w:t>且注册资本不少于300万元（其中实缴资本不低于100万元）企业营业执照处于有效期</w:t>
      </w:r>
      <w:r>
        <w:rPr>
          <w:rFonts w:hint="eastAsia" w:ascii="宋体" w:hAnsi="宋体"/>
          <w:kern w:val="0"/>
          <w:szCs w:val="20"/>
        </w:rPr>
        <w:t>。</w:t>
      </w:r>
    </w:p>
    <w:p w14:paraId="55276E96">
      <w:pPr>
        <w:spacing w:line="360" w:lineRule="auto"/>
        <w:ind w:firstLine="480"/>
        <w:rPr>
          <w:rFonts w:hint="eastAsia" w:ascii="宋体" w:hAnsi="宋体"/>
          <w:kern w:val="0"/>
          <w:szCs w:val="20"/>
        </w:rPr>
      </w:pPr>
      <w:r>
        <w:rPr>
          <w:rFonts w:hint="eastAsia" w:ascii="宋体" w:hAnsi="宋体"/>
          <w:kern w:val="0"/>
          <w:szCs w:val="20"/>
        </w:rPr>
        <w:t>3.2 资质要求：投标人应具备消防技术服务机构从业条件中规定的“从事消防设施维护保养检测服务的消防技术服务机构应当具备的条件”，在四川消防服务机构管理平台（</w:t>
      </w:r>
      <w:r>
        <w:rPr>
          <w:rFonts w:hint="eastAsia" w:ascii="宋体" w:hAnsi="宋体"/>
          <w:kern w:val="0"/>
          <w:szCs w:val="20"/>
        </w:rPr>
        <w:fldChar w:fldCharType="begin"/>
      </w:r>
      <w:r>
        <w:rPr>
          <w:rFonts w:hint="eastAsia" w:ascii="宋体" w:hAnsi="宋体"/>
          <w:kern w:val="0"/>
          <w:szCs w:val="20"/>
        </w:rPr>
        <w:instrText xml:space="preserve"> HYPERLINK "http://scxf.usensejn.com/selplan/selwbplan.html" </w:instrText>
      </w:r>
      <w:r>
        <w:rPr>
          <w:rFonts w:hint="eastAsia" w:ascii="宋体" w:hAnsi="宋体"/>
          <w:kern w:val="0"/>
          <w:szCs w:val="20"/>
        </w:rPr>
        <w:fldChar w:fldCharType="separate"/>
      </w:r>
      <w:r>
        <w:rPr>
          <w:rFonts w:hint="eastAsia" w:ascii="宋体" w:hAnsi="宋体"/>
          <w:kern w:val="0"/>
          <w:szCs w:val="20"/>
        </w:rPr>
        <w:t>http://scxf.usensejn.com/selplan/selwbplan.html</w:t>
      </w:r>
      <w:r>
        <w:rPr>
          <w:rFonts w:hint="eastAsia" w:ascii="宋体" w:hAnsi="宋体"/>
          <w:kern w:val="0"/>
          <w:szCs w:val="20"/>
        </w:rPr>
        <w:fldChar w:fldCharType="end"/>
      </w:r>
      <w:r>
        <w:rPr>
          <w:rFonts w:hint="eastAsia" w:ascii="宋体" w:hAnsi="宋体"/>
          <w:kern w:val="0"/>
          <w:szCs w:val="20"/>
        </w:rPr>
        <w:t>）上注册登记并获得通过，且可查询，查询积分在90分以上。</w:t>
      </w:r>
    </w:p>
    <w:p w14:paraId="4DD3CA7F">
      <w:pPr>
        <w:spacing w:line="560" w:lineRule="exact"/>
        <w:ind w:firstLine="480" w:firstLineChars="200"/>
        <w:jc w:val="left"/>
        <w:rPr>
          <w:rFonts w:hint="eastAsia" w:ascii="宋体" w:hAnsi="宋体" w:cs="宋体"/>
          <w:bCs/>
        </w:rPr>
      </w:pPr>
      <w:r>
        <w:rPr>
          <w:rFonts w:hint="eastAsia" w:ascii="宋体" w:hAnsi="宋体"/>
          <w:kern w:val="0"/>
          <w:szCs w:val="20"/>
        </w:rPr>
        <w:t>3.3</w:t>
      </w:r>
      <w:r>
        <w:rPr>
          <w:rFonts w:hint="eastAsia" w:ascii="宋体" w:hAnsi="宋体" w:cs="宋体"/>
          <w:bCs/>
          <w:sz w:val="24"/>
          <w:highlight w:val="none"/>
        </w:rPr>
        <w:t>人员要求：</w:t>
      </w:r>
      <w:r>
        <w:rPr>
          <w:rFonts w:ascii="宋体" w:hAnsi="宋体" w:cs="宋体"/>
          <w:sz w:val="24"/>
          <w:highlight w:val="none"/>
        </w:rPr>
        <w:t>项目负责人1人</w:t>
      </w:r>
      <w:r>
        <w:rPr>
          <w:rFonts w:hint="eastAsia" w:ascii="宋体" w:hAnsi="宋体" w:cs="宋体"/>
          <w:sz w:val="24"/>
          <w:highlight w:val="none"/>
          <w:lang w:eastAsia="zh-CN"/>
        </w:rPr>
        <w:t>，</w:t>
      </w:r>
      <w:r>
        <w:rPr>
          <w:rFonts w:hint="eastAsia" w:ascii="宋体" w:hAnsi="宋体" w:cs="宋体"/>
          <w:sz w:val="24"/>
          <w:highlight w:val="none"/>
          <w:lang w:val="en-US" w:eastAsia="zh-CN"/>
        </w:rPr>
        <w:t>要求与后期技术文件项目负责人一致</w:t>
      </w:r>
      <w:r>
        <w:rPr>
          <w:rFonts w:ascii="宋体" w:hAnsi="宋体" w:cs="宋体"/>
          <w:sz w:val="24"/>
          <w:highlight w:val="none"/>
        </w:rPr>
        <w:t>，投标人拟派的项目负责人必须已在投标人本单位注册并应具有一级注册消防工程师执业资格</w:t>
      </w:r>
      <w:r>
        <w:rPr>
          <w:rFonts w:hint="eastAsia" w:ascii="宋体" w:hAnsi="宋体" w:cs="宋体"/>
          <w:sz w:val="24"/>
          <w:highlight w:val="none"/>
        </w:rPr>
        <w:t>（提交为其缴纳的近6个月以上社保证明材料）</w:t>
      </w:r>
      <w:r>
        <w:rPr>
          <w:rFonts w:ascii="宋体" w:hAnsi="宋体" w:cs="宋体"/>
          <w:sz w:val="24"/>
          <w:highlight w:val="none"/>
        </w:rPr>
        <w:t>。驻场维保人员不少于3人，3人均需持有中级以上（含中级）建(构)筑物消防员证（检测维保方向）、其中至少</w:t>
      </w:r>
      <w:r>
        <w:rPr>
          <w:rFonts w:hint="eastAsia" w:ascii="宋体" w:hAnsi="宋体" w:cs="宋体"/>
          <w:sz w:val="24"/>
          <w:highlight w:val="none"/>
        </w:rPr>
        <w:t>2</w:t>
      </w:r>
      <w:r>
        <w:rPr>
          <w:rFonts w:ascii="宋体" w:hAnsi="宋体" w:cs="宋体"/>
          <w:sz w:val="24"/>
          <w:highlight w:val="none"/>
        </w:rPr>
        <w:t>人具有高空作业证、至少</w:t>
      </w:r>
      <w:r>
        <w:rPr>
          <w:rFonts w:hint="eastAsia" w:ascii="宋体" w:hAnsi="宋体" w:cs="宋体"/>
          <w:sz w:val="24"/>
          <w:highlight w:val="none"/>
        </w:rPr>
        <w:t>2</w:t>
      </w:r>
      <w:r>
        <w:rPr>
          <w:rFonts w:ascii="宋体" w:hAnsi="宋体" w:cs="宋体"/>
          <w:sz w:val="24"/>
          <w:highlight w:val="none"/>
        </w:rPr>
        <w:t>人具有电工作业证</w:t>
      </w:r>
      <w:r>
        <w:rPr>
          <w:rFonts w:hint="eastAsia" w:ascii="宋体" w:hAnsi="宋体" w:cs="宋体"/>
          <w:sz w:val="24"/>
          <w:highlight w:val="none"/>
          <w:lang w:eastAsia="zh-CN"/>
        </w:rPr>
        <w:t>（</w:t>
      </w:r>
      <w:r>
        <w:rPr>
          <w:rFonts w:hint="eastAsia" w:ascii="宋体" w:hAnsi="宋体" w:cs="宋体"/>
          <w:sz w:val="24"/>
          <w:highlight w:val="none"/>
          <w:lang w:val="en-US" w:eastAsia="zh-CN"/>
        </w:rPr>
        <w:t>要求与后期技术投标文件人员一致</w:t>
      </w:r>
      <w:r>
        <w:rPr>
          <w:rFonts w:hint="eastAsia" w:ascii="宋体" w:hAnsi="宋体" w:cs="宋体"/>
          <w:sz w:val="24"/>
          <w:highlight w:val="none"/>
          <w:lang w:eastAsia="zh-CN"/>
        </w:rPr>
        <w:t>）</w:t>
      </w:r>
      <w:r>
        <w:rPr>
          <w:rFonts w:ascii="宋体" w:hAnsi="宋体" w:cs="宋体"/>
          <w:sz w:val="24"/>
          <w:highlight w:val="none"/>
        </w:rPr>
        <w:t>。</w:t>
      </w:r>
    </w:p>
    <w:p w14:paraId="5F584053">
      <w:pPr>
        <w:spacing w:line="360" w:lineRule="auto"/>
        <w:ind w:firstLine="480"/>
        <w:rPr>
          <w:rFonts w:hint="eastAsia" w:ascii="宋体" w:hAnsi="宋体"/>
          <w:kern w:val="0"/>
          <w:szCs w:val="20"/>
        </w:rPr>
      </w:pPr>
      <w:r>
        <w:rPr>
          <w:rFonts w:hint="eastAsia" w:ascii="宋体" w:hAnsi="宋体"/>
          <w:kern w:val="0"/>
          <w:szCs w:val="20"/>
        </w:rPr>
        <w:t>3.4业绩要求：</w:t>
      </w:r>
      <w:r>
        <w:rPr>
          <w:rFonts w:ascii="宋体" w:hAnsi="宋体" w:cs="宋体"/>
        </w:rPr>
        <w:t>投标截止日前3年内，指202</w:t>
      </w:r>
      <w:r>
        <w:rPr>
          <w:rFonts w:hint="eastAsia" w:ascii="宋体" w:hAnsi="宋体" w:cs="宋体"/>
          <w:lang w:val="en-US" w:eastAsia="zh-CN"/>
        </w:rPr>
        <w:t>3</w:t>
      </w:r>
      <w:r>
        <w:rPr>
          <w:rFonts w:ascii="宋体" w:hAnsi="宋体" w:cs="宋体"/>
        </w:rPr>
        <w:t>年01月01日起至投标截止日止应承担过至少1例单个合同金额不低于20万元的工业类或公建类驻场维保服务项目业绩。提供业绩项目中标通知书（若有）、合同书（维保范围、金额、时间可见）、发票复印件。</w:t>
      </w:r>
    </w:p>
    <w:p w14:paraId="76C03991">
      <w:pPr>
        <w:spacing w:line="360" w:lineRule="auto"/>
        <w:ind w:firstLine="480"/>
        <w:rPr>
          <w:rFonts w:hint="eastAsia" w:ascii="宋体" w:hAnsi="宋体"/>
          <w:kern w:val="0"/>
          <w:szCs w:val="20"/>
        </w:rPr>
      </w:pPr>
      <w:r>
        <w:rPr>
          <w:rFonts w:hint="eastAsia" w:ascii="宋体" w:hAnsi="宋体"/>
          <w:kern w:val="0"/>
          <w:szCs w:val="20"/>
        </w:rPr>
        <w:t>3.5财务要求：</w:t>
      </w:r>
      <w:r>
        <w:rPr>
          <w:rFonts w:hint="eastAsia" w:ascii="宋体" w:hAnsi="宋体" w:cs="宋体"/>
          <w:bCs/>
        </w:rPr>
        <w:t>具有良好的财务状况，近3年</w:t>
      </w:r>
      <w:r>
        <w:rPr>
          <w:rFonts w:hint="eastAsia" w:ascii="宋体" w:hAnsi="宋体" w:cs="宋体"/>
        </w:rPr>
        <w:t>平均</w:t>
      </w:r>
      <w:r>
        <w:rPr>
          <w:rFonts w:hint="eastAsia" w:ascii="宋体" w:hAnsi="宋体" w:cs="宋体"/>
          <w:bCs/>
        </w:rPr>
        <w:t>无亏损，</w:t>
      </w:r>
      <w:r>
        <w:rPr>
          <w:rFonts w:hint="eastAsia" w:ascii="宋体" w:hAnsi="宋体"/>
          <w:caps/>
        </w:rPr>
        <w:t>需提供近3年（202</w:t>
      </w:r>
      <w:r>
        <w:rPr>
          <w:rFonts w:hint="eastAsia" w:ascii="宋体" w:hAnsi="宋体"/>
          <w:caps/>
          <w:lang w:val="en-US" w:eastAsia="zh-CN"/>
        </w:rPr>
        <w:t>2</w:t>
      </w:r>
      <w:r>
        <w:rPr>
          <w:rFonts w:hint="eastAsia" w:ascii="宋体" w:hAnsi="宋体"/>
          <w:caps/>
        </w:rPr>
        <w:t>年-202</w:t>
      </w:r>
      <w:r>
        <w:rPr>
          <w:rFonts w:hint="eastAsia" w:ascii="宋体" w:hAnsi="宋体"/>
          <w:caps/>
          <w:lang w:val="en-US" w:eastAsia="zh-CN"/>
        </w:rPr>
        <w:t>5</w:t>
      </w:r>
      <w:r>
        <w:rPr>
          <w:rFonts w:hint="eastAsia" w:ascii="宋体" w:hAnsi="宋体"/>
          <w:caps/>
        </w:rPr>
        <w:t>年）财务报告或报表、企业资信证明</w:t>
      </w:r>
      <w:r>
        <w:rPr>
          <w:rFonts w:hint="eastAsia" w:ascii="宋体" w:hAnsi="宋体" w:cs="宋体"/>
          <w:bCs/>
        </w:rPr>
        <w:t>。</w:t>
      </w:r>
    </w:p>
    <w:p w14:paraId="616EBF36">
      <w:pPr>
        <w:spacing w:line="360" w:lineRule="auto"/>
        <w:ind w:firstLine="480"/>
        <w:rPr>
          <w:rFonts w:hint="eastAsia" w:ascii="宋体" w:hAnsi="宋体"/>
          <w:kern w:val="0"/>
          <w:szCs w:val="20"/>
        </w:rPr>
      </w:pPr>
      <w:r>
        <w:rPr>
          <w:rFonts w:hint="eastAsia" w:ascii="宋体" w:hAnsi="宋体"/>
          <w:kern w:val="0"/>
          <w:szCs w:val="20"/>
        </w:rPr>
        <w:t>3.6信誉要求：投标人在信用中国（http://www.creditchina.gov.cn）平台上无失信记录。</w:t>
      </w:r>
    </w:p>
    <w:p w14:paraId="2ECBD316">
      <w:pPr>
        <w:spacing w:line="360" w:lineRule="auto"/>
        <w:ind w:firstLine="480"/>
        <w:rPr>
          <w:rFonts w:hint="eastAsia" w:ascii="宋体" w:hAnsi="宋体"/>
          <w:kern w:val="0"/>
          <w:szCs w:val="20"/>
        </w:rPr>
      </w:pPr>
      <w:r>
        <w:rPr>
          <w:rFonts w:hint="eastAsia" w:ascii="宋体" w:hAnsi="宋体"/>
          <w:kern w:val="0"/>
          <w:szCs w:val="20"/>
        </w:rPr>
        <w:t>3.7</w:t>
      </w:r>
      <w:r>
        <w:rPr>
          <w:rFonts w:ascii="宋体" w:hAnsi="宋体" w:cs="宋体"/>
        </w:rPr>
        <w:t>有扰乱招投标行为/不良投标行为情况的资审不予通</w:t>
      </w:r>
      <w:r>
        <w:rPr>
          <w:rFonts w:hint="eastAsia" w:ascii="宋体" w:hAnsi="宋体" w:cs="宋体"/>
        </w:rPr>
        <w:t>过。</w:t>
      </w:r>
    </w:p>
    <w:p w14:paraId="061117E3">
      <w:pPr>
        <w:spacing w:line="360" w:lineRule="auto"/>
        <w:ind w:firstLine="480"/>
        <w:rPr>
          <w:rFonts w:hint="eastAsia" w:ascii="宋体" w:hAnsi="宋体"/>
          <w:kern w:val="0"/>
          <w:szCs w:val="20"/>
        </w:rPr>
      </w:pPr>
      <w:r>
        <w:rPr>
          <w:rFonts w:hint="eastAsia" w:ascii="宋体" w:hAnsi="宋体"/>
          <w:kern w:val="0"/>
          <w:szCs w:val="20"/>
        </w:rPr>
        <w:t>3.8 本次招标不接受联合体投标。</w:t>
      </w:r>
    </w:p>
    <w:p w14:paraId="7CB29E80">
      <w:pPr>
        <w:adjustRightInd w:val="0"/>
        <w:snapToGrid w:val="0"/>
        <w:spacing w:line="440" w:lineRule="exact"/>
        <w:ind w:firstLine="480"/>
        <w:rPr>
          <w:rFonts w:hint="eastAsia" w:ascii="宋体" w:hAnsi="宋体"/>
          <w:kern w:val="0"/>
          <w:szCs w:val="20"/>
        </w:rPr>
      </w:pPr>
      <w:r>
        <w:rPr>
          <w:rFonts w:hint="eastAsia" w:ascii="宋体" w:hAnsi="宋体" w:cs="宋体"/>
        </w:rPr>
        <w:t>3</w:t>
      </w:r>
      <w:r>
        <w:rPr>
          <w:rFonts w:ascii="宋体" w:hAnsi="宋体" w:cs="宋体"/>
        </w:rPr>
        <w:t>.</w:t>
      </w:r>
      <w:r>
        <w:rPr>
          <w:rFonts w:hint="eastAsia" w:ascii="宋体" w:hAnsi="宋体" w:cs="宋体"/>
        </w:rPr>
        <w:t>9投标人须符合《资格预审必要合格条件标准》（见附件一）。</w:t>
      </w:r>
    </w:p>
    <w:p w14:paraId="2D7C4CF6">
      <w:pPr>
        <w:adjustRightInd w:val="0"/>
        <w:snapToGrid w:val="0"/>
        <w:spacing w:line="440" w:lineRule="exact"/>
        <w:ind w:firstLine="482"/>
        <w:rPr>
          <w:rFonts w:ascii="宋体" w:hAnsi="宋体" w:cs="宋体"/>
          <w:b/>
          <w:bCs/>
        </w:rPr>
      </w:pPr>
      <w:r>
        <w:rPr>
          <w:rFonts w:hint="eastAsia" w:ascii="宋体" w:hAnsi="宋体" w:cs="宋体"/>
          <w:b/>
          <w:bCs/>
        </w:rPr>
        <w:t>四、确定潜在投标人的方法</w:t>
      </w:r>
    </w:p>
    <w:p w14:paraId="07C210AB">
      <w:pPr>
        <w:adjustRightInd w:val="0"/>
        <w:snapToGrid w:val="0"/>
        <w:spacing w:line="440" w:lineRule="exact"/>
        <w:ind w:firstLine="480"/>
        <w:rPr>
          <w:rFonts w:hint="eastAsia" w:ascii="宋体" w:hAnsi="宋体" w:cs="宋体"/>
          <w:b/>
          <w:bCs/>
        </w:rPr>
      </w:pPr>
      <w:r>
        <w:rPr>
          <w:rFonts w:hint="eastAsia" w:ascii="宋体" w:hAnsi="宋体" w:cs="宋体"/>
        </w:rPr>
        <w:t>本项目资格预审采用合格制。投标人递交的资格预审文件（包括必要时的约谈或考察）经审查均合格的，入围正式投标</w:t>
      </w:r>
      <w:r>
        <w:rPr>
          <w:rFonts w:hint="eastAsia" w:ascii="宋体" w:hAnsi="宋体" w:cs="宋体"/>
          <w:b/>
          <w:bCs/>
        </w:rPr>
        <w:t>。</w:t>
      </w:r>
    </w:p>
    <w:p w14:paraId="0232E793">
      <w:pPr>
        <w:adjustRightInd w:val="0"/>
        <w:snapToGrid w:val="0"/>
        <w:spacing w:line="440" w:lineRule="exact"/>
        <w:ind w:firstLine="482"/>
        <w:rPr>
          <w:rFonts w:ascii="宋体" w:hAnsi="宋体" w:cs="宋体"/>
          <w:b/>
          <w:bCs/>
        </w:rPr>
      </w:pPr>
      <w:r>
        <w:rPr>
          <w:rFonts w:hint="eastAsia" w:ascii="宋体" w:hAnsi="宋体" w:cs="宋体"/>
          <w:b/>
          <w:bCs/>
        </w:rPr>
        <w:t>五、资格预审文件的递交</w:t>
      </w:r>
    </w:p>
    <w:p w14:paraId="6BE24743">
      <w:pPr>
        <w:spacing w:line="460" w:lineRule="exact"/>
        <w:ind w:right="6" w:firstLine="480"/>
        <w:jc w:val="left"/>
        <w:rPr>
          <w:rFonts w:hint="eastAsia" w:ascii="宋体" w:hAnsi="宋体"/>
          <w:snapToGrid w:val="0"/>
        </w:rPr>
      </w:pPr>
      <w:r>
        <w:rPr>
          <w:rFonts w:hint="eastAsia" w:ascii="宋体" w:hAnsi="宋体"/>
          <w:snapToGrid w:val="0"/>
        </w:rPr>
        <w:t>5.1有意向且符合上述条件的投标人，请登陆舍得酒业招采数字化平台</w:t>
      </w:r>
      <w:r>
        <w:rPr>
          <w:rFonts w:ascii="宋体" w:hAnsi="宋体"/>
          <w:snapToGrid w:val="0"/>
        </w:rPr>
        <w:t>(</w:t>
      </w:r>
      <w:r>
        <w:rPr>
          <w:rFonts w:hint="eastAsia" w:ascii="宋体" w:hAnsi="宋体"/>
          <w:snapToGrid w:val="0"/>
        </w:rPr>
        <w:t>网址：h</w:t>
      </w:r>
      <w:r>
        <w:rPr>
          <w:rFonts w:ascii="宋体" w:hAnsi="宋体"/>
          <w:snapToGrid w:val="0"/>
        </w:rPr>
        <w:t>ttps://ssrm.shede.com.cn</w:t>
      </w:r>
      <w:r>
        <w:rPr>
          <w:rFonts w:hint="eastAsia" w:ascii="宋体" w:hAnsi="宋体"/>
          <w:snapToGrid w:val="0"/>
        </w:rPr>
        <w:t>），点击页面顶部“一链网”参与项目报名</w:t>
      </w:r>
      <w:r>
        <w:rPr>
          <w:rFonts w:ascii="宋体" w:hAnsi="宋体"/>
          <w:snapToGrid w:val="0"/>
        </w:rPr>
        <w:t>,</w:t>
      </w:r>
      <w:r>
        <w:rPr>
          <w:rFonts w:hint="eastAsia" w:ascii="宋体" w:hAnsi="宋体"/>
          <w:snapToGrid w:val="0"/>
        </w:rPr>
        <w:t>并按照“附件二投标预审资料提交模板”的要求提供资格预审盖章扫描文件及可编辑</w:t>
      </w:r>
      <w:r>
        <w:rPr>
          <w:rFonts w:ascii="宋体" w:hAnsi="宋体"/>
          <w:snapToGrid w:val="0"/>
        </w:rPr>
        <w:t>word</w:t>
      </w:r>
      <w:r>
        <w:rPr>
          <w:rFonts w:hint="eastAsia" w:ascii="宋体" w:hAnsi="宋体"/>
          <w:snapToGrid w:val="0"/>
        </w:rPr>
        <w:t>版本。</w:t>
      </w:r>
    </w:p>
    <w:p w14:paraId="1F7746BA">
      <w:pPr>
        <w:spacing w:line="360" w:lineRule="auto"/>
        <w:ind w:firstLine="480"/>
        <w:rPr>
          <w:rFonts w:hint="eastAsia" w:ascii="宋体" w:hAnsi="宋体"/>
          <w:snapToGrid w:val="0"/>
        </w:rPr>
      </w:pPr>
      <w:r>
        <w:rPr>
          <w:rFonts w:hint="eastAsia" w:ascii="宋体" w:hAnsi="宋体"/>
          <w:snapToGrid w:val="0"/>
        </w:rPr>
        <w:t>5.2未按照上述要求进行报名的均视为报名无效。通过资格预审并接受邀请的投标人方可参加投标。</w:t>
      </w:r>
    </w:p>
    <w:p w14:paraId="4E58CA9F">
      <w:pPr>
        <w:adjustRightInd w:val="0"/>
        <w:snapToGrid w:val="0"/>
        <w:spacing w:line="440" w:lineRule="exact"/>
        <w:ind w:firstLine="482"/>
        <w:rPr>
          <w:b/>
        </w:rPr>
      </w:pPr>
      <w:r>
        <w:rPr>
          <w:rFonts w:hint="eastAsia"/>
          <w:b/>
        </w:rPr>
        <w:t>六、投标保证金</w:t>
      </w:r>
    </w:p>
    <w:p w14:paraId="29090868">
      <w:pPr>
        <w:pStyle w:val="8"/>
        <w:shd w:val="clear" w:color="auto" w:fill="FFFFFF"/>
        <w:spacing w:before="0" w:beforeAutospacing="0" w:after="0" w:afterAutospacing="0" w:line="460" w:lineRule="exact"/>
        <w:ind w:firstLine="480"/>
        <w:jc w:val="both"/>
        <w:rPr>
          <w:rFonts w:hint="eastAsia"/>
          <w:kern w:val="2"/>
        </w:rPr>
      </w:pPr>
      <w:r>
        <w:rPr>
          <w:rFonts w:hint="eastAsia"/>
        </w:rPr>
        <w:t xml:space="preserve">6.1 </w:t>
      </w:r>
      <w:r>
        <w:t>投标保证金缴纳：</w:t>
      </w:r>
      <w:r>
        <w:rPr>
          <w:rFonts w:hint="eastAsia"/>
          <w:szCs w:val="21"/>
        </w:rPr>
        <w:t>人民币贰万元整（¥20000.00元）</w:t>
      </w:r>
      <w:r>
        <w:t>；投标人在收到招标文件且确认参标后，在规定时间内缴纳投标保证金并将转账凭证上传至“一链网”投标保证金节点。投标保证金缴纳截止时间以招标文件为准，以转账方式缴纳投标保证金，投标人转账时请在转账凭证用途栏上注明本项目招标编号</w:t>
      </w:r>
      <w:r>
        <w:rPr>
          <w:rFonts w:hint="eastAsia"/>
        </w:rPr>
        <w:t>：</w:t>
      </w:r>
      <w:r>
        <w:rPr>
          <w:rFonts w:hint="eastAsia"/>
          <w:bCs/>
        </w:rPr>
        <w:t>ZC2-045</w:t>
      </w:r>
      <w:r>
        <w:rPr>
          <w:rFonts w:hint="eastAsia"/>
          <w:bCs/>
          <w:color w:val="000000"/>
        </w:rPr>
        <w:t>号</w:t>
      </w:r>
    </w:p>
    <w:p w14:paraId="38290F6B">
      <w:pPr>
        <w:adjustRightInd w:val="0"/>
        <w:snapToGrid w:val="0"/>
        <w:spacing w:line="440" w:lineRule="exact"/>
        <w:ind w:firstLine="480"/>
        <w:rPr>
          <w:rFonts w:ascii="宋体" w:hAnsi="宋体" w:cs="宋体"/>
        </w:rPr>
      </w:pPr>
      <w:r>
        <w:rPr>
          <w:rFonts w:hint="eastAsia" w:ascii="宋体" w:hAnsi="宋体" w:cs="宋体"/>
        </w:rPr>
        <w:t>投标保证金缴纳账户信息如下：</w:t>
      </w:r>
    </w:p>
    <w:p w14:paraId="0FAA873C">
      <w:pPr>
        <w:adjustRightInd w:val="0"/>
        <w:snapToGrid w:val="0"/>
        <w:spacing w:line="440" w:lineRule="exact"/>
        <w:ind w:firstLine="480"/>
        <w:rPr>
          <w:rFonts w:ascii="宋体" w:hAnsi="宋体" w:cs="宋体"/>
        </w:rPr>
      </w:pPr>
      <w:r>
        <w:rPr>
          <w:rFonts w:hint="eastAsia" w:ascii="宋体" w:hAnsi="宋体" w:cs="宋体"/>
        </w:rPr>
        <w:t>开户单位：舍得酒业股份有限公司</w:t>
      </w:r>
    </w:p>
    <w:p w14:paraId="1A86E0DC">
      <w:pPr>
        <w:adjustRightInd w:val="0"/>
        <w:snapToGrid w:val="0"/>
        <w:spacing w:line="440" w:lineRule="exact"/>
        <w:ind w:firstLine="480"/>
        <w:rPr>
          <w:rFonts w:ascii="宋体" w:hAnsi="宋体" w:cs="宋体"/>
        </w:rPr>
      </w:pPr>
      <w:r>
        <w:rPr>
          <w:rFonts w:hint="eastAsia" w:ascii="宋体" w:hAnsi="宋体" w:cs="宋体"/>
        </w:rPr>
        <w:t>开户银行：中国工商银行射洪支行</w:t>
      </w:r>
    </w:p>
    <w:p w14:paraId="03200CD1">
      <w:pPr>
        <w:adjustRightInd w:val="0"/>
        <w:snapToGrid w:val="0"/>
        <w:spacing w:line="440" w:lineRule="exact"/>
        <w:ind w:firstLine="480"/>
        <w:rPr>
          <w:rFonts w:ascii="宋体" w:hAnsi="宋体" w:cs="宋体"/>
        </w:rPr>
      </w:pPr>
      <w:r>
        <w:rPr>
          <w:rFonts w:hint="eastAsia" w:ascii="宋体" w:hAnsi="宋体" w:cs="宋体"/>
        </w:rPr>
        <w:t>银行帐号：2310 4641 0902 2509 624</w:t>
      </w:r>
    </w:p>
    <w:p w14:paraId="0627D1E2">
      <w:pPr>
        <w:adjustRightInd w:val="0"/>
        <w:snapToGrid w:val="0"/>
        <w:spacing w:line="440" w:lineRule="exact"/>
        <w:ind w:firstLine="480"/>
        <w:rPr>
          <w:rFonts w:ascii="宋体" w:hAnsi="宋体" w:cs="宋体"/>
        </w:rPr>
      </w:pPr>
      <w:r>
        <w:rPr>
          <w:rFonts w:hint="eastAsia" w:ascii="宋体" w:hAnsi="宋体" w:cs="宋体"/>
        </w:rPr>
        <w:t>6.2 保证金退还：</w:t>
      </w:r>
    </w:p>
    <w:p w14:paraId="3E08DFB5">
      <w:pPr>
        <w:spacing w:line="460" w:lineRule="exact"/>
        <w:ind w:right="6" w:firstLine="480"/>
        <w:jc w:val="left"/>
        <w:rPr>
          <w:rFonts w:hint="eastAsia" w:ascii="宋体" w:hAnsi="宋体" w:cs="宋体"/>
        </w:rPr>
      </w:pPr>
      <w:r>
        <w:rPr>
          <w:rFonts w:hint="eastAsia" w:ascii="宋体" w:hAnsi="宋体" w:cs="宋体"/>
        </w:rPr>
        <w:t>若中标，则投标保证金自动转为合同履约保证金，服务按质按期完成并验收合格后，招标人30日内返还履约保证金（不计利息）。未中标的投标保证金在确定中标人单位后30日内返还（不计利息）。中标人拒绝签订合同的，招标人有权取消其中标资格，投标保证金不予退还，如因此给招标人造成损失的，还应赔偿招标人损失；中标人不按期服务，经招标人催告后仍不开工的，招标人有权单方解除与其签订的合同，履约保证金不予退还，如因此给招标人造成损失的，还应赔偿损失。</w:t>
      </w:r>
    </w:p>
    <w:p w14:paraId="23BC8E65">
      <w:pPr>
        <w:adjustRightInd w:val="0"/>
        <w:snapToGrid w:val="0"/>
        <w:spacing w:line="440" w:lineRule="exact"/>
        <w:ind w:firstLine="482"/>
        <w:rPr>
          <w:b/>
        </w:rPr>
      </w:pPr>
      <w:r>
        <w:rPr>
          <w:rFonts w:hint="eastAsia"/>
          <w:b/>
        </w:rPr>
        <w:t xml:space="preserve">七、投标报名联系人及时间安排： </w:t>
      </w:r>
    </w:p>
    <w:p w14:paraId="6B4BAC6F">
      <w:pPr>
        <w:adjustRightInd w:val="0"/>
        <w:snapToGrid w:val="0"/>
        <w:spacing w:line="440" w:lineRule="exact"/>
        <w:ind w:firstLine="480"/>
        <w:rPr>
          <w:rFonts w:ascii="宋体" w:hAnsi="宋体" w:cs="宋体"/>
        </w:rPr>
      </w:pPr>
      <w:r>
        <w:rPr>
          <w:rFonts w:hint="eastAsia" w:ascii="宋体" w:hAnsi="宋体" w:cs="宋体"/>
        </w:rPr>
        <w:t>7.1招标联系人：</w:t>
      </w:r>
    </w:p>
    <w:p w14:paraId="10FC080D">
      <w:pPr>
        <w:adjustRightInd w:val="0"/>
        <w:snapToGrid w:val="0"/>
        <w:spacing w:line="440" w:lineRule="exact"/>
        <w:ind w:firstLine="480"/>
        <w:rPr>
          <w:rFonts w:hint="eastAsia" w:ascii="宋体" w:hAnsi="宋体" w:cs="宋体"/>
        </w:rPr>
      </w:pPr>
      <w:r>
        <w:rPr>
          <w:rFonts w:hint="eastAsia" w:ascii="宋体" w:hAnsi="宋体" w:cs="宋体"/>
        </w:rPr>
        <w:t>招标联系人：</w:t>
      </w:r>
      <w:r>
        <w:rPr>
          <w:rFonts w:hint="eastAsia" w:ascii="宋体" w:hAnsi="宋体" w:cs="宋体"/>
          <w:lang w:val="en-US" w:eastAsia="zh-CN"/>
        </w:rPr>
        <w:t>吴先生</w:t>
      </w:r>
      <w:r>
        <w:rPr>
          <w:rFonts w:hint="eastAsia" w:ascii="宋体" w:hAnsi="宋体" w:cs="宋体"/>
        </w:rPr>
        <w:t xml:space="preserve"> </w:t>
      </w:r>
      <w:r>
        <w:rPr>
          <w:rFonts w:hint="eastAsia" w:ascii="宋体" w:hAnsi="宋体" w:cs="宋体"/>
          <w:lang w:val="en-US" w:eastAsia="zh-CN"/>
        </w:rPr>
        <w:t>18081288357</w:t>
      </w:r>
      <w:r>
        <w:rPr>
          <w:rFonts w:hint="eastAsia" w:ascii="宋体" w:hAnsi="宋体" w:cs="宋体"/>
        </w:rPr>
        <w:t xml:space="preserve">   邮箱:</w:t>
      </w:r>
      <w:r>
        <w:fldChar w:fldCharType="begin"/>
      </w:r>
      <w:r>
        <w:instrText xml:space="preserve"> HYPERLINK "mailto:whongxin@tuopai.biz" </w:instrText>
      </w:r>
      <w:r>
        <w:fldChar w:fldCharType="separate"/>
      </w:r>
      <w:r>
        <w:rPr>
          <w:rFonts w:hint="eastAsia" w:ascii="仿宋" w:hAnsi="仿宋" w:eastAsia="仿宋" w:cs="仿宋"/>
          <w:b/>
          <w:bCs/>
          <w:sz w:val="24"/>
        </w:rPr>
        <w:t>whongxin@tuopai.biz</w:t>
      </w:r>
      <w:r>
        <w:rPr>
          <w:rFonts w:hint="eastAsia" w:ascii="仿宋" w:hAnsi="仿宋" w:eastAsia="仿宋" w:cs="仿宋"/>
          <w:b/>
          <w:bCs/>
          <w:sz w:val="24"/>
        </w:rPr>
        <w:fldChar w:fldCharType="end"/>
      </w:r>
      <w:r>
        <w:rPr>
          <w:rFonts w:hint="eastAsia" w:ascii="仿宋" w:hAnsi="仿宋" w:eastAsia="仿宋" w:cs="仿宋"/>
          <w:b/>
          <w:bCs/>
          <w:sz w:val="24"/>
        </w:rPr>
        <w:t xml:space="preserve">  </w:t>
      </w:r>
      <w:r>
        <w:rPr>
          <w:rFonts w:hint="eastAsia" w:ascii="宋体" w:hAnsi="宋体" w:cs="宋体"/>
        </w:rPr>
        <w:t xml:space="preserve">   </w:t>
      </w:r>
    </w:p>
    <w:p w14:paraId="2C3BE6F6">
      <w:pPr>
        <w:adjustRightInd w:val="0"/>
        <w:snapToGrid w:val="0"/>
        <w:spacing w:line="440" w:lineRule="exact"/>
        <w:ind w:firstLine="480"/>
        <w:rPr>
          <w:rFonts w:ascii="宋体" w:hAnsi="宋体" w:cs="宋体"/>
        </w:rPr>
      </w:pPr>
      <w:r>
        <w:rPr>
          <w:rFonts w:hint="eastAsia" w:ascii="宋体" w:hAnsi="宋体" w:cs="宋体"/>
        </w:rPr>
        <w:t xml:space="preserve">现场勘察：张先生  </w:t>
      </w:r>
      <w:r>
        <w:rPr>
          <w:rFonts w:ascii="宋体" w:hAnsi="宋体" w:eastAsia="宋体" w:cs="宋体"/>
          <w:sz w:val="24"/>
          <w:szCs w:val="24"/>
        </w:rPr>
        <w:t>15756232484</w:t>
      </w:r>
    </w:p>
    <w:p w14:paraId="6301C6BA">
      <w:pPr>
        <w:adjustRightInd w:val="0"/>
        <w:snapToGrid w:val="0"/>
        <w:spacing w:line="440" w:lineRule="exact"/>
        <w:ind w:firstLine="480"/>
        <w:rPr>
          <w:rFonts w:hint="eastAsia" w:ascii="宋体" w:hAnsi="宋体" w:cs="宋体"/>
        </w:rPr>
      </w:pPr>
      <w:r>
        <w:rPr>
          <w:rFonts w:hint="eastAsia" w:ascii="宋体" w:hAnsi="宋体" w:cs="宋体"/>
        </w:rPr>
        <w:t>地    址：四川省射洪市沱牌镇沱牌大道999号    邮    编：629209</w:t>
      </w:r>
    </w:p>
    <w:p w14:paraId="1C02995C">
      <w:pPr>
        <w:pStyle w:val="8"/>
        <w:shd w:val="clear" w:color="auto" w:fill="FFFFFF"/>
        <w:spacing w:before="0" w:beforeAutospacing="0" w:after="0" w:afterAutospacing="0" w:line="360" w:lineRule="auto"/>
        <w:ind w:firstLine="480"/>
        <w:rPr>
          <w:rFonts w:hint="eastAsia" w:cs="Times New Roman"/>
          <w:snapToGrid w:val="0"/>
          <w:kern w:val="2"/>
        </w:rPr>
      </w:pPr>
      <w:r>
        <w:rPr>
          <w:rFonts w:hint="eastAsia" w:cs="Times New Roman"/>
          <w:snapToGrid w:val="0"/>
          <w:kern w:val="2"/>
        </w:rPr>
        <w:t>凡涉及商务、技术咨询的，请投标人通过</w:t>
      </w:r>
      <w:r>
        <w:rPr>
          <w:rFonts w:hint="eastAsia" w:cs="Times New Roman"/>
          <w:snapToGrid w:val="0"/>
        </w:rPr>
        <w:t>“一链网”系统</w:t>
      </w:r>
      <w:r>
        <w:rPr>
          <w:rFonts w:hint="eastAsia" w:cs="Times New Roman"/>
          <w:snapToGrid w:val="0"/>
          <w:kern w:val="2"/>
        </w:rPr>
        <w:t>提出，招标联系人通过</w:t>
      </w:r>
      <w:r>
        <w:rPr>
          <w:rFonts w:hint="eastAsia" w:cs="Times New Roman"/>
          <w:snapToGrid w:val="0"/>
        </w:rPr>
        <w:t>“一链网”系统</w:t>
      </w:r>
      <w:r>
        <w:rPr>
          <w:rFonts w:hint="eastAsia" w:cs="Times New Roman"/>
          <w:snapToGrid w:val="0"/>
          <w:kern w:val="2"/>
        </w:rPr>
        <w:t>回复，请投标人及时关注“一链网”消息提示。  </w:t>
      </w:r>
    </w:p>
    <w:p w14:paraId="3C4460FD">
      <w:pPr>
        <w:adjustRightInd w:val="0"/>
        <w:snapToGrid w:val="0"/>
        <w:spacing w:line="440" w:lineRule="exact"/>
        <w:ind w:firstLine="480"/>
        <w:rPr>
          <w:rFonts w:ascii="宋体" w:hAnsi="宋体" w:cs="宋体"/>
        </w:rPr>
      </w:pPr>
      <w:r>
        <w:rPr>
          <w:rFonts w:hint="eastAsia" w:ascii="宋体" w:hAnsi="宋体" w:cs="宋体"/>
        </w:rPr>
        <w:t>7.2招标文件的获取方式</w:t>
      </w:r>
    </w:p>
    <w:p w14:paraId="6B70A41F">
      <w:pPr>
        <w:adjustRightInd w:val="0"/>
        <w:snapToGrid w:val="0"/>
        <w:spacing w:line="440" w:lineRule="exact"/>
        <w:ind w:firstLine="480"/>
        <w:rPr>
          <w:rFonts w:ascii="宋体" w:hAnsi="宋体" w:cs="宋体"/>
        </w:rPr>
      </w:pPr>
      <w:r>
        <w:rPr>
          <w:rFonts w:hint="eastAsia" w:ascii="宋体" w:hAnsi="宋体" w:cs="宋体"/>
        </w:rPr>
        <w:t>经资格预审合格的投标单位可于发标时间登录</w:t>
      </w:r>
      <w:r>
        <w:rPr>
          <w:rFonts w:hint="eastAsia" w:ascii="宋体" w:hAnsi="宋体"/>
          <w:snapToGrid w:val="0"/>
        </w:rPr>
        <w:t>“一链网”系统</w:t>
      </w:r>
      <w:r>
        <w:rPr>
          <w:rFonts w:hint="eastAsia" w:ascii="宋体" w:hAnsi="宋体" w:cs="宋体"/>
        </w:rPr>
        <w:t>获取，招标文件不收取费用。</w:t>
      </w:r>
    </w:p>
    <w:p w14:paraId="618D4A30">
      <w:pPr>
        <w:adjustRightInd w:val="0"/>
        <w:snapToGrid w:val="0"/>
        <w:spacing w:line="400" w:lineRule="exact"/>
        <w:ind w:firstLine="480"/>
        <w:rPr>
          <w:rFonts w:ascii="宋体" w:hAnsi="宋体" w:cs="宋体"/>
        </w:rPr>
      </w:pPr>
      <w:r>
        <w:rPr>
          <w:rFonts w:hint="eastAsia" w:ascii="宋体" w:hAnsi="宋体" w:cs="宋体"/>
        </w:rPr>
        <w:t>7.3时间安排：</w:t>
      </w:r>
    </w:p>
    <w:p w14:paraId="74ECA178">
      <w:pPr>
        <w:adjustRightInd w:val="0"/>
        <w:snapToGrid w:val="0"/>
        <w:spacing w:line="400" w:lineRule="exact"/>
        <w:ind w:firstLine="480"/>
        <w:rPr>
          <w:rFonts w:ascii="宋体" w:hAnsi="宋体" w:cs="宋体"/>
        </w:rPr>
      </w:pPr>
      <w:r>
        <w:rPr>
          <w:rFonts w:hint="eastAsia" w:ascii="宋体" w:hAnsi="宋体" w:cs="宋体"/>
        </w:rPr>
        <w:t>投标预审资料递交截止时间：202</w:t>
      </w:r>
      <w:r>
        <w:rPr>
          <w:rFonts w:hint="eastAsia" w:ascii="宋体" w:hAnsi="宋体" w:cs="宋体"/>
          <w:lang w:val="en-US" w:eastAsia="zh-CN"/>
        </w:rPr>
        <w:t>6</w:t>
      </w:r>
      <w:r>
        <w:rPr>
          <w:rFonts w:hint="eastAsia" w:ascii="宋体" w:hAnsi="宋体" w:cs="宋体"/>
        </w:rPr>
        <w:t>年</w:t>
      </w:r>
      <w:r>
        <w:rPr>
          <w:rFonts w:hint="eastAsia" w:ascii="宋体" w:hAnsi="宋体" w:cs="宋体"/>
          <w:lang w:val="en-US" w:eastAsia="zh-CN"/>
        </w:rPr>
        <w:t>10</w:t>
      </w:r>
      <w:r>
        <w:rPr>
          <w:rFonts w:hint="eastAsia" w:ascii="宋体" w:hAnsi="宋体" w:cs="宋体"/>
        </w:rPr>
        <w:t>月</w:t>
      </w:r>
      <w:r>
        <w:rPr>
          <w:rFonts w:hint="eastAsia" w:ascii="宋体" w:hAnsi="宋体" w:cs="宋体"/>
          <w:lang w:val="en-US" w:eastAsia="zh-CN"/>
        </w:rPr>
        <w:t>27</w:t>
      </w:r>
      <w:r>
        <w:rPr>
          <w:rFonts w:hint="eastAsia" w:ascii="宋体" w:hAnsi="宋体" w:cs="宋体"/>
        </w:rPr>
        <w:t>日17:00</w:t>
      </w:r>
    </w:p>
    <w:p w14:paraId="42F86B52">
      <w:pPr>
        <w:adjustRightInd w:val="0"/>
        <w:snapToGrid w:val="0"/>
        <w:spacing w:line="400" w:lineRule="exact"/>
        <w:ind w:firstLine="480"/>
        <w:rPr>
          <w:rFonts w:hint="eastAsia" w:ascii="宋体" w:hAnsi="宋体" w:cs="宋体"/>
        </w:rPr>
      </w:pPr>
      <w:r>
        <w:rPr>
          <w:rFonts w:hint="eastAsia" w:ascii="宋体" w:hAnsi="宋体" w:cs="宋体"/>
        </w:rPr>
        <w:t>本项目发标时间：202</w:t>
      </w:r>
      <w:r>
        <w:rPr>
          <w:rFonts w:hint="eastAsia" w:ascii="宋体" w:hAnsi="宋体" w:cs="宋体"/>
          <w:lang w:val="en-US" w:eastAsia="zh-CN"/>
        </w:rPr>
        <w:t>6</w:t>
      </w:r>
      <w:r>
        <w:rPr>
          <w:rFonts w:hint="eastAsia" w:ascii="宋体" w:hAnsi="宋体" w:cs="宋体"/>
        </w:rPr>
        <w:t>年</w:t>
      </w:r>
      <w:r>
        <w:rPr>
          <w:rFonts w:hint="eastAsia" w:ascii="宋体" w:hAnsi="宋体" w:cs="宋体"/>
          <w:lang w:val="en-US" w:eastAsia="zh-CN"/>
        </w:rPr>
        <w:t>10</w:t>
      </w:r>
      <w:r>
        <w:rPr>
          <w:rFonts w:hint="eastAsia" w:ascii="宋体" w:hAnsi="宋体" w:cs="宋体"/>
        </w:rPr>
        <w:t>月</w:t>
      </w:r>
      <w:r>
        <w:rPr>
          <w:rFonts w:hint="eastAsia" w:ascii="宋体" w:hAnsi="宋体" w:cs="宋体"/>
          <w:lang w:val="en-US" w:eastAsia="zh-CN"/>
        </w:rPr>
        <w:t>30</w:t>
      </w:r>
      <w:r>
        <w:rPr>
          <w:rFonts w:hint="eastAsia" w:ascii="宋体" w:hAnsi="宋体" w:cs="宋体"/>
        </w:rPr>
        <w:t>日（暂定）</w:t>
      </w:r>
    </w:p>
    <w:p w14:paraId="4E6FFAB4">
      <w:pPr>
        <w:adjustRightInd w:val="0"/>
        <w:snapToGrid w:val="0"/>
        <w:spacing w:line="400" w:lineRule="exact"/>
        <w:ind w:firstLine="480"/>
        <w:rPr>
          <w:rFonts w:ascii="宋体" w:hAnsi="宋体" w:cs="宋体"/>
        </w:rPr>
      </w:pPr>
      <w:r>
        <w:rPr>
          <w:rFonts w:hint="eastAsia" w:ascii="宋体" w:hAnsi="宋体" w:cs="宋体"/>
        </w:rPr>
        <w:t>本项目回标时间：以招标文件为准</w:t>
      </w:r>
    </w:p>
    <w:p w14:paraId="77B25060">
      <w:pPr>
        <w:adjustRightInd w:val="0"/>
        <w:snapToGrid w:val="0"/>
        <w:spacing w:line="400" w:lineRule="exact"/>
        <w:ind w:firstLine="480"/>
        <w:rPr>
          <w:rFonts w:hint="eastAsia" w:ascii="宋体" w:hAnsi="宋体" w:cs="宋体"/>
        </w:rPr>
      </w:pPr>
      <w:r>
        <w:rPr>
          <w:rFonts w:hint="eastAsia" w:ascii="宋体" w:hAnsi="宋体" w:cs="宋体"/>
        </w:rPr>
        <w:t>本项目开标时间：以招标文件为准</w:t>
      </w:r>
    </w:p>
    <w:p w14:paraId="223FDE3F">
      <w:pPr>
        <w:adjustRightInd w:val="0"/>
        <w:snapToGrid w:val="0"/>
        <w:spacing w:line="400" w:lineRule="exact"/>
        <w:ind w:firstLine="480"/>
        <w:rPr>
          <w:rFonts w:ascii="宋体" w:hAnsi="宋体" w:cs="宋体"/>
        </w:rPr>
      </w:pPr>
      <w:r>
        <w:rPr>
          <w:rFonts w:hint="eastAsia" w:ascii="宋体" w:hAnsi="宋体" w:cs="宋体"/>
        </w:rPr>
        <w:t>以上时间会根据项目的进度有所变动，以实际为准。</w:t>
      </w:r>
    </w:p>
    <w:p w14:paraId="6A8E12EE">
      <w:pPr>
        <w:adjustRightInd w:val="0"/>
        <w:snapToGrid w:val="0"/>
        <w:spacing w:line="400" w:lineRule="exact"/>
        <w:ind w:firstLine="482"/>
        <w:rPr>
          <w:rFonts w:hint="eastAsia"/>
          <w:b/>
        </w:rPr>
      </w:pPr>
      <w:r>
        <w:rPr>
          <w:rFonts w:hint="eastAsia"/>
          <w:b/>
        </w:rPr>
        <w:t>八、发布公告的媒介：</w:t>
      </w:r>
    </w:p>
    <w:p w14:paraId="642D5D30">
      <w:pPr>
        <w:tabs>
          <w:tab w:val="right" w:leader="dot" w:pos="9471"/>
        </w:tabs>
        <w:spacing w:line="400" w:lineRule="exact"/>
        <w:ind w:firstLine="480"/>
        <w:jc w:val="left"/>
        <w:rPr>
          <w:rFonts w:hint="eastAsia" w:ascii="宋体" w:hAnsi="宋体" w:cs="宋体"/>
        </w:rPr>
      </w:pPr>
      <w:r>
        <w:rPr>
          <w:rFonts w:hint="eastAsia" w:ascii="宋体" w:hAnsi="宋体" w:cs="宋体"/>
        </w:rPr>
        <w:t>本招标公告于202</w:t>
      </w:r>
      <w:r>
        <w:rPr>
          <w:rFonts w:hint="eastAsia" w:ascii="宋体" w:hAnsi="宋体" w:cs="宋体"/>
          <w:lang w:val="en-US" w:eastAsia="zh-CN"/>
        </w:rPr>
        <w:t>6</w:t>
      </w:r>
      <w:r>
        <w:rPr>
          <w:rFonts w:hint="eastAsia" w:ascii="宋体" w:hAnsi="宋体" w:cs="宋体"/>
        </w:rPr>
        <w:t>年</w:t>
      </w:r>
      <w:r>
        <w:rPr>
          <w:rFonts w:hint="eastAsia" w:ascii="宋体" w:hAnsi="宋体" w:cs="宋体"/>
          <w:lang w:val="en-US" w:eastAsia="zh-CN"/>
        </w:rPr>
        <w:t>10</w:t>
      </w:r>
      <w:r>
        <w:rPr>
          <w:rFonts w:hint="eastAsia" w:ascii="宋体" w:hAnsi="宋体" w:cs="宋体"/>
        </w:rPr>
        <w:t>月1</w:t>
      </w:r>
      <w:r>
        <w:rPr>
          <w:rFonts w:hint="eastAsia" w:ascii="宋体" w:hAnsi="宋体" w:cs="宋体"/>
          <w:lang w:val="en-US" w:eastAsia="zh-CN"/>
        </w:rPr>
        <w:t>9</w:t>
      </w:r>
      <w:r>
        <w:rPr>
          <w:rFonts w:hint="eastAsia" w:ascii="宋体" w:hAnsi="宋体" w:cs="宋体"/>
        </w:rPr>
        <w:t>日在如下网站发布：</w:t>
      </w:r>
    </w:p>
    <w:p w14:paraId="4FEFD141">
      <w:pPr>
        <w:tabs>
          <w:tab w:val="right" w:leader="dot" w:pos="9471"/>
        </w:tabs>
        <w:spacing w:line="400" w:lineRule="exact"/>
        <w:ind w:firstLine="480"/>
        <w:jc w:val="left"/>
        <w:rPr>
          <w:rFonts w:hint="eastAsia" w:ascii="宋体" w:hAnsi="宋体" w:cs="宋体"/>
        </w:rPr>
      </w:pPr>
      <w:r>
        <w:rPr>
          <w:rFonts w:hint="eastAsia" w:ascii="宋体" w:hAnsi="宋体" w:cs="宋体"/>
        </w:rPr>
        <w:t>舍得酒业股份</w:t>
      </w:r>
      <w:r>
        <w:rPr>
          <w:rFonts w:hint="eastAsia" w:ascii="宋体" w:hAnsi="宋体" w:cs="宋体"/>
          <w:lang w:val="zh-CN"/>
        </w:rPr>
        <w:t>有限公司官网</w:t>
      </w:r>
      <w:r>
        <w:rPr>
          <w:rFonts w:hint="eastAsia" w:ascii="宋体" w:hAnsi="宋体" w:cs="宋体"/>
        </w:rPr>
        <w:t>（http://www.tuopaishede.cn）</w:t>
      </w:r>
    </w:p>
    <w:p w14:paraId="15157CCB">
      <w:pPr>
        <w:tabs>
          <w:tab w:val="right" w:leader="dot" w:pos="9471"/>
        </w:tabs>
        <w:spacing w:line="400" w:lineRule="exact"/>
        <w:ind w:firstLine="480"/>
        <w:jc w:val="left"/>
        <w:rPr>
          <w:rFonts w:hint="eastAsia" w:ascii="宋体" w:hAnsi="宋体" w:cs="宋体"/>
        </w:rPr>
      </w:pPr>
      <w:r>
        <w:rPr>
          <w:rFonts w:hint="eastAsia" w:ascii="宋体" w:hAnsi="宋体" w:cs="宋体"/>
          <w:lang w:val="zh-CN"/>
        </w:rPr>
        <w:t>中国招标采购导航网</w:t>
      </w:r>
      <w:r>
        <w:rPr>
          <w:rFonts w:hint="eastAsia" w:ascii="宋体" w:hAnsi="宋体" w:cs="宋体"/>
        </w:rPr>
        <w:t>（http://www.okcis.cn）</w:t>
      </w:r>
    </w:p>
    <w:p w14:paraId="6A26A00F">
      <w:pPr>
        <w:tabs>
          <w:tab w:val="right" w:leader="dot" w:pos="9471"/>
        </w:tabs>
        <w:spacing w:line="400" w:lineRule="exact"/>
        <w:ind w:firstLine="480"/>
        <w:jc w:val="left"/>
        <w:rPr>
          <w:rFonts w:hint="eastAsia" w:ascii="宋体" w:hAnsi="宋体" w:cs="宋体"/>
        </w:rPr>
      </w:pPr>
      <w:r>
        <w:rPr>
          <w:rFonts w:hint="eastAsia" w:ascii="宋体" w:hAnsi="宋体" w:cs="宋体"/>
          <w:lang w:val="zh-CN"/>
        </w:rPr>
        <w:t>中国采购与招标网</w:t>
      </w:r>
      <w:r>
        <w:rPr>
          <w:rFonts w:hint="eastAsia" w:ascii="宋体" w:hAnsi="宋体" w:cs="宋体"/>
        </w:rPr>
        <w:t>（http://www.chinabidding.com.cn）</w:t>
      </w:r>
    </w:p>
    <w:p w14:paraId="761B1016">
      <w:pPr>
        <w:tabs>
          <w:tab w:val="right" w:leader="dot" w:pos="9471"/>
        </w:tabs>
        <w:spacing w:line="400" w:lineRule="exact"/>
        <w:ind w:firstLine="480"/>
        <w:jc w:val="left"/>
        <w:rPr>
          <w:rFonts w:hint="eastAsia"/>
          <w:lang w:val="zh-CN"/>
        </w:rPr>
      </w:pPr>
      <w:r>
        <w:rPr>
          <w:rFonts w:hint="eastAsia" w:ascii="宋体" w:hAnsi="宋体" w:cs="宋体"/>
          <w:lang w:val="zh-CN"/>
        </w:rPr>
        <w:t>本公告有效期至本项目开标当日</w:t>
      </w:r>
      <w:r>
        <w:rPr>
          <w:rFonts w:hint="eastAsia" w:ascii="宋体" w:hAnsi="宋体" w:cs="宋体"/>
        </w:rPr>
        <w:t>09</w:t>
      </w:r>
      <w:r>
        <w:rPr>
          <w:rFonts w:hint="eastAsia" w:ascii="宋体" w:hAnsi="宋体" w:cs="宋体"/>
          <w:lang w:val="zh-CN"/>
        </w:rPr>
        <w:t>:00截止。</w:t>
      </w:r>
    </w:p>
    <w:p w14:paraId="74BC0E7C">
      <w:pPr>
        <w:adjustRightInd w:val="0"/>
        <w:snapToGrid w:val="0"/>
        <w:spacing w:line="440" w:lineRule="exact"/>
        <w:ind w:firstLine="482"/>
        <w:rPr>
          <w:b/>
        </w:rPr>
      </w:pPr>
      <w:r>
        <w:rPr>
          <w:rFonts w:hint="eastAsia"/>
          <w:b/>
        </w:rPr>
        <w:t>十、附件</w:t>
      </w:r>
    </w:p>
    <w:p w14:paraId="13233EB8">
      <w:pPr>
        <w:adjustRightInd w:val="0"/>
        <w:snapToGrid w:val="0"/>
        <w:spacing w:line="440" w:lineRule="exact"/>
        <w:ind w:firstLine="480"/>
        <w:rPr>
          <w:rFonts w:ascii="宋体" w:hAnsi="宋体" w:cs="宋体"/>
        </w:rPr>
      </w:pPr>
      <w:r>
        <w:rPr>
          <w:rFonts w:hint="eastAsia" w:ascii="宋体" w:hAnsi="宋体" w:cs="宋体"/>
        </w:rPr>
        <w:t>附件一：资格预审必要合格条件标准</w:t>
      </w:r>
    </w:p>
    <w:p w14:paraId="6CD4E0A2">
      <w:pPr>
        <w:adjustRightInd w:val="0"/>
        <w:snapToGrid w:val="0"/>
        <w:spacing w:line="440" w:lineRule="exact"/>
        <w:ind w:firstLine="480"/>
        <w:rPr>
          <w:rFonts w:hint="eastAsia"/>
        </w:rPr>
      </w:pPr>
      <w:r>
        <w:rPr>
          <w:rFonts w:hint="eastAsia" w:ascii="宋体" w:hAnsi="宋体" w:cs="宋体"/>
        </w:rPr>
        <w:t>附件二：投标预审资料提交模板（点击下载）</w:t>
      </w:r>
    </w:p>
    <w:p w14:paraId="25D05D70">
      <w:pPr>
        <w:adjustRightInd w:val="0"/>
        <w:snapToGrid w:val="0"/>
        <w:spacing w:line="440" w:lineRule="exact"/>
        <w:ind w:firstLine="5040" w:firstLineChars="2100"/>
        <w:rPr>
          <w:rFonts w:hint="eastAsia" w:ascii="宋体" w:hAnsi="宋体" w:cs="宋体"/>
        </w:rPr>
      </w:pPr>
      <w:bookmarkStart w:id="7" w:name="_GoBack"/>
      <w:bookmarkEnd w:id="7"/>
      <w:r>
        <w:rPr>
          <w:rFonts w:hint="eastAsia" w:ascii="宋体" w:hAnsi="宋体" w:cs="宋体"/>
        </w:rPr>
        <w:t>舍得酒业股份有限公司</w:t>
      </w:r>
    </w:p>
    <w:p w14:paraId="4190A79B">
      <w:pPr>
        <w:adjustRightInd w:val="0"/>
        <w:snapToGrid w:val="0"/>
        <w:spacing w:line="440" w:lineRule="exact"/>
        <w:ind w:firstLine="5280" w:firstLineChars="2200"/>
        <w:rPr>
          <w:rFonts w:hint="eastAsia" w:ascii="宋体" w:hAnsi="宋体" w:cs="宋体"/>
        </w:rPr>
      </w:pPr>
      <w:r>
        <w:rPr>
          <w:rFonts w:hint="eastAsia" w:ascii="宋体" w:hAnsi="宋体" w:cs="宋体"/>
        </w:rPr>
        <w:t>202</w:t>
      </w:r>
      <w:r>
        <w:rPr>
          <w:rFonts w:hint="eastAsia" w:ascii="宋体" w:hAnsi="宋体" w:cs="宋体"/>
          <w:lang w:val="en-US" w:eastAsia="zh-CN"/>
        </w:rPr>
        <w:t>6</w:t>
      </w:r>
      <w:r>
        <w:rPr>
          <w:rFonts w:hint="eastAsia" w:ascii="宋体" w:hAnsi="宋体" w:cs="宋体"/>
        </w:rPr>
        <w:t>年</w:t>
      </w:r>
      <w:r>
        <w:rPr>
          <w:rFonts w:hint="eastAsia" w:ascii="宋体" w:hAnsi="宋体" w:cs="宋体"/>
          <w:lang w:val="en-US" w:eastAsia="zh-CN"/>
        </w:rPr>
        <w:t>10</w:t>
      </w:r>
      <w:r>
        <w:rPr>
          <w:rFonts w:hint="eastAsia" w:ascii="宋体" w:hAnsi="宋体" w:cs="宋体"/>
        </w:rPr>
        <w:t>月</w:t>
      </w:r>
      <w:r>
        <w:rPr>
          <w:rFonts w:hint="eastAsia" w:ascii="宋体" w:hAnsi="宋体" w:cs="宋体"/>
          <w:lang w:val="en-US" w:eastAsia="zh-CN"/>
        </w:rPr>
        <w:t>19</w:t>
      </w:r>
      <w:r>
        <w:rPr>
          <w:rFonts w:hint="eastAsia" w:ascii="宋体" w:hAnsi="宋体" w:cs="宋体"/>
        </w:rPr>
        <w:t>日</w:t>
      </w:r>
    </w:p>
    <w:p w14:paraId="36793D02"/>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480"/>
      </w:pPr>
      <w:r>
        <w:separator/>
      </w:r>
    </w:p>
  </w:endnote>
  <w:endnote w:type="continuationSeparator" w:id="1">
    <w:p>
      <w:pPr>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480"/>
      </w:pPr>
      <w:r>
        <w:separator/>
      </w:r>
    </w:p>
  </w:footnote>
  <w:footnote w:type="continuationSeparator" w:id="1">
    <w:p>
      <w:pPr>
        <w:ind w:firstLine="48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E3M2RmMzhmMmVmMWZhMWYyMWM5NDZjZWMyZDZmYWYifQ=="/>
  </w:docVars>
  <w:rsids>
    <w:rsidRoot w:val="455C02FE"/>
    <w:rsid w:val="07F46924"/>
    <w:rsid w:val="09E13025"/>
    <w:rsid w:val="16BC0776"/>
    <w:rsid w:val="196842EC"/>
    <w:rsid w:val="2E720DAD"/>
    <w:rsid w:val="39BF18AF"/>
    <w:rsid w:val="43264E7C"/>
    <w:rsid w:val="455C02FE"/>
    <w:rsid w:val="4586564E"/>
    <w:rsid w:val="54CF67BD"/>
    <w:rsid w:val="5A5719CC"/>
    <w:rsid w:val="600D6385"/>
    <w:rsid w:val="60E973AF"/>
    <w:rsid w:val="67FE4BD6"/>
    <w:rsid w:val="6BA57A88"/>
    <w:rsid w:val="6FFF766C"/>
    <w:rsid w:val="71547244"/>
    <w:rsid w:val="7D1D3E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ind w:firstLine="560" w:firstLineChars="200"/>
      <w:jc w:val="both"/>
    </w:pPr>
    <w:rPr>
      <w:rFonts w:ascii="Times New Roman" w:hAnsi="Times New Roman" w:eastAsia="宋体" w:cs="Times New Roman"/>
      <w:kern w:val="2"/>
      <w:sz w:val="24"/>
      <w:szCs w:val="24"/>
      <w:lang w:val="en-US" w:eastAsia="zh-CN" w:bidi="ar-SA"/>
    </w:rPr>
  </w:style>
  <w:style w:type="paragraph" w:styleId="2">
    <w:name w:val="heading 1"/>
    <w:basedOn w:val="1"/>
    <w:next w:val="1"/>
    <w:qFormat/>
    <w:uiPriority w:val="0"/>
    <w:pPr>
      <w:keepNext/>
      <w:keepLines/>
      <w:spacing w:before="240" w:after="240" w:line="240" w:lineRule="atLeast"/>
      <w:jc w:val="center"/>
      <w:outlineLvl w:val="0"/>
    </w:pPr>
    <w:rPr>
      <w:rFonts w:ascii="Arial" w:hAnsi="Arial" w:eastAsia="黑体"/>
      <w:bCs/>
      <w:kern w:val="44"/>
      <w:sz w:val="44"/>
      <w:szCs w:val="36"/>
    </w:rPr>
  </w:style>
  <w:style w:type="paragraph" w:styleId="3">
    <w:name w:val="heading 2"/>
    <w:basedOn w:val="1"/>
    <w:next w:val="1"/>
    <w:qFormat/>
    <w:uiPriority w:val="0"/>
    <w:pPr>
      <w:keepNext/>
      <w:keepLines/>
      <w:spacing w:before="120" w:after="120" w:line="240" w:lineRule="atLeast"/>
      <w:outlineLvl w:val="1"/>
    </w:pPr>
    <w:rPr>
      <w:rFonts w:ascii="黑体" w:hAnsi="黑体" w:eastAsia="黑体"/>
      <w:kern w:val="0"/>
      <w:sz w:val="28"/>
      <w:szCs w:val="28"/>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4">
    <w:name w:val="Body Text"/>
    <w:basedOn w:val="1"/>
    <w:next w:val="1"/>
    <w:qFormat/>
    <w:uiPriority w:val="0"/>
    <w:pPr>
      <w:widowControl/>
      <w:jc w:val="left"/>
    </w:pPr>
    <w:rPr>
      <w:kern w:val="0"/>
      <w:szCs w:val="20"/>
    </w:rPr>
  </w:style>
  <w:style w:type="paragraph" w:styleId="5">
    <w:name w:val="footer"/>
    <w:basedOn w:val="1"/>
    <w:uiPriority w:val="99"/>
    <w:pPr>
      <w:tabs>
        <w:tab w:val="center" w:pos="4153"/>
        <w:tab w:val="right" w:pos="8306"/>
      </w:tabs>
      <w:snapToGrid w:val="0"/>
      <w:jc w:val="left"/>
    </w:pPr>
    <w:rPr>
      <w:sz w:val="18"/>
      <w:szCs w:val="18"/>
    </w:rPr>
  </w:style>
  <w:style w:type="paragraph" w:styleId="6">
    <w:name w:val="header"/>
    <w:basedOn w:val="1"/>
    <w:uiPriority w:val="0"/>
    <w:pPr>
      <w:pBdr>
        <w:bottom w:val="thinThickSmallGap" w:color="auto" w:sz="12" w:space="1"/>
      </w:pBdr>
      <w:tabs>
        <w:tab w:val="center" w:pos="4153"/>
        <w:tab w:val="right" w:pos="8306"/>
      </w:tabs>
      <w:snapToGrid w:val="0"/>
      <w:jc w:val="center"/>
    </w:pPr>
    <w:rPr>
      <w:sz w:val="18"/>
      <w:szCs w:val="18"/>
    </w:rPr>
  </w:style>
  <w:style w:type="paragraph" w:styleId="7">
    <w:name w:val="toc 1"/>
    <w:basedOn w:val="1"/>
    <w:next w:val="1"/>
    <w:qFormat/>
    <w:uiPriority w:val="0"/>
    <w:pPr>
      <w:tabs>
        <w:tab w:val="right" w:leader="dot" w:pos="8302"/>
      </w:tabs>
    </w:pPr>
    <w:rPr>
      <w:b/>
    </w:rPr>
  </w:style>
  <w:style w:type="paragraph" w:styleId="8">
    <w:name w:val="Normal (Web)"/>
    <w:basedOn w:val="1"/>
    <w:unhideWhenUsed/>
    <w:qFormat/>
    <w:uiPriority w:val="99"/>
    <w:pPr>
      <w:widowControl/>
      <w:spacing w:before="100" w:beforeAutospacing="1" w:after="100" w:afterAutospacing="1"/>
      <w:jc w:val="left"/>
    </w:pPr>
    <w:rPr>
      <w:rFonts w:ascii="宋体" w:hAnsi="宋体" w:cs="宋体"/>
      <w:kern w:val="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3809</Words>
  <Characters>4299</Characters>
  <Lines>0</Lines>
  <Paragraphs>0</Paragraphs>
  <TotalTime>1</TotalTime>
  <ScaleCrop>false</ScaleCrop>
  <LinksUpToDate>false</LinksUpToDate>
  <CharactersWithSpaces>4342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2024-08-08T07:13:00Z</dcterms:created>
  <dc:creator>Administrator</dc:creator>
  <cp:lastModifiedBy>Elia</cp:lastModifiedBy>
  <dcterms:modified xsi:type="dcterms:W3CDTF">2026-10-16T08:34:04Z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669D5E79BB19444B88B7414B0F8C07A8_11</vt:lpwstr>
  </property>
  <property fmtid="{D5CDD505-2E9C-101B-9397-08002B2CF9AE}" pid="4" name="KSOTemplateDocerSaveRecord">
    <vt:lpwstr>eyJoZGlkIjoiM2UzZGQyYTA5YzcxMGY2MTYzY2RmYzZlODkzNWE2NDAiLCJ1c2VySWQiOiI1NTk3MjkwMDkifQ==</vt:lpwstr>
  </property>
</Properties>
</file>